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B7F" w:rsidRPr="00A37E13" w:rsidRDefault="00361B7F" w:rsidP="002C18F8">
      <w:pPr>
        <w:pStyle w:val="CRCoverPage"/>
        <w:tabs>
          <w:tab w:val="right" w:pos="9639"/>
          <w:tab w:val="right" w:pos="13323"/>
        </w:tabs>
        <w:spacing w:after="0"/>
        <w:rPr>
          <w:rFonts w:cs="Arial"/>
          <w:b/>
          <w:sz w:val="24"/>
          <w:szCs w:val="24"/>
        </w:rPr>
      </w:pPr>
      <w:bookmarkStart w:id="0" w:name="_GoBack"/>
      <w:bookmarkEnd w:id="0"/>
      <w:r w:rsidRPr="00133CAF">
        <w:rPr>
          <w:rFonts w:cs="Arial"/>
          <w:b/>
          <w:sz w:val="24"/>
          <w:szCs w:val="24"/>
        </w:rPr>
        <w:t>3GPP TSG-RAN</w:t>
      </w:r>
      <w:r w:rsidRPr="000B67FE">
        <w:rPr>
          <w:rFonts w:cs="Arial"/>
          <w:b/>
          <w:sz w:val="24"/>
          <w:szCs w:val="24"/>
        </w:rPr>
        <w:t xml:space="preserve"> WG</w:t>
      </w:r>
      <w:r w:rsidR="00E3093E">
        <w:rPr>
          <w:rFonts w:cs="Arial"/>
          <w:b/>
          <w:sz w:val="24"/>
          <w:szCs w:val="24"/>
        </w:rPr>
        <w:t>1 e-Meeting #105</w:t>
      </w:r>
      <w:r w:rsidRPr="00A37E13">
        <w:rPr>
          <w:rFonts w:cs="Arial"/>
          <w:b/>
          <w:sz w:val="24"/>
          <w:szCs w:val="24"/>
        </w:rPr>
        <w:tab/>
      </w:r>
      <w:r w:rsidRPr="000B67FE">
        <w:rPr>
          <w:rFonts w:cs="Arial"/>
          <w:b/>
          <w:sz w:val="24"/>
          <w:szCs w:val="24"/>
        </w:rPr>
        <w:t>R</w:t>
      </w:r>
      <w:r>
        <w:rPr>
          <w:rFonts w:cs="Arial"/>
          <w:b/>
          <w:sz w:val="24"/>
          <w:szCs w:val="24"/>
        </w:rPr>
        <w:t>1</w:t>
      </w:r>
      <w:r w:rsidRPr="000B67FE">
        <w:rPr>
          <w:rFonts w:cs="Arial"/>
          <w:b/>
          <w:sz w:val="24"/>
          <w:szCs w:val="24"/>
        </w:rPr>
        <w:t>-</w:t>
      </w:r>
      <w:r w:rsidRPr="00FB2F25">
        <w:t xml:space="preserve"> </w:t>
      </w:r>
      <w:r w:rsidR="00627ADD">
        <w:rPr>
          <w:rFonts w:cs="Arial"/>
          <w:b/>
          <w:sz w:val="24"/>
          <w:szCs w:val="24"/>
        </w:rPr>
        <w:t>21</w:t>
      </w:r>
      <w:r w:rsidR="00B8330A">
        <w:rPr>
          <w:rFonts w:cs="Arial"/>
          <w:b/>
          <w:sz w:val="24"/>
          <w:szCs w:val="24"/>
        </w:rPr>
        <w:t>08073</w:t>
      </w:r>
    </w:p>
    <w:p w:rsidR="00E3093E" w:rsidRPr="009146A1" w:rsidRDefault="00995DF4" w:rsidP="00995DF4">
      <w:pPr>
        <w:pStyle w:val="CRCoverPage"/>
        <w:tabs>
          <w:tab w:val="right" w:pos="9639"/>
        </w:tabs>
        <w:spacing w:after="0"/>
        <w:rPr>
          <w:rFonts w:cs="Arial"/>
          <w:b/>
          <w:sz w:val="24"/>
        </w:rPr>
      </w:pPr>
      <w:r>
        <w:rPr>
          <w:rFonts w:cs="Arial"/>
          <w:b/>
          <w:sz w:val="24"/>
        </w:rPr>
        <w:t>Aug.</w:t>
      </w:r>
      <w:r w:rsidR="00E3093E" w:rsidRPr="00A37E13">
        <w:rPr>
          <w:rFonts w:cs="Arial"/>
          <w:b/>
          <w:sz w:val="24"/>
        </w:rPr>
        <w:t xml:space="preserve"> </w:t>
      </w:r>
      <w:r>
        <w:rPr>
          <w:rFonts w:cs="Arial"/>
          <w:b/>
          <w:sz w:val="24"/>
        </w:rPr>
        <w:t>16</w:t>
      </w:r>
      <w:r w:rsidR="00E3093E" w:rsidRPr="00615D5A">
        <w:rPr>
          <w:rFonts w:cs="Arial"/>
          <w:b/>
          <w:sz w:val="24"/>
          <w:vertAlign w:val="superscript"/>
        </w:rPr>
        <w:t>th</w:t>
      </w:r>
      <w:r w:rsidR="00E3093E">
        <w:rPr>
          <w:rFonts w:cs="Arial"/>
          <w:b/>
          <w:sz w:val="24"/>
        </w:rPr>
        <w:t xml:space="preserve"> – </w:t>
      </w:r>
      <w:r>
        <w:rPr>
          <w:rFonts w:cs="Arial"/>
          <w:b/>
          <w:sz w:val="24"/>
        </w:rPr>
        <w:t>Aug. 28</w:t>
      </w:r>
      <w:r w:rsidR="00E3093E" w:rsidRPr="00A37E13">
        <w:rPr>
          <w:rFonts w:cs="Arial"/>
          <w:b/>
          <w:sz w:val="24"/>
          <w:vertAlign w:val="superscript"/>
        </w:rPr>
        <w:t>th</w:t>
      </w:r>
      <w:r w:rsidR="00E3093E" w:rsidRPr="00A37E13">
        <w:rPr>
          <w:rFonts w:cs="Arial"/>
          <w:b/>
          <w:sz w:val="24"/>
        </w:rPr>
        <w:t>, 20</w:t>
      </w:r>
      <w:r w:rsidR="00E3093E">
        <w:rPr>
          <w:rFonts w:cs="Arial"/>
          <w:b/>
          <w:sz w:val="24"/>
        </w:rPr>
        <w:t>21</w:t>
      </w:r>
    </w:p>
    <w:p w:rsidR="00361B7F" w:rsidRPr="00A37E13" w:rsidRDefault="00361B7F" w:rsidP="00BB3854">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00E563B0">
        <w:rPr>
          <w:rFonts w:cs="Arial"/>
          <w:b w:val="0"/>
          <w:sz w:val="24"/>
          <w:szCs w:val="24"/>
        </w:rPr>
        <w:t xml:space="preserve">Discussion on </w:t>
      </w:r>
      <w:r w:rsidR="00BB3854">
        <w:rPr>
          <w:rFonts w:cs="Arial"/>
          <w:b w:val="0"/>
          <w:sz w:val="24"/>
          <w:szCs w:val="24"/>
        </w:rPr>
        <w:t>UL Time Synchronization</w:t>
      </w:r>
      <w:r>
        <w:rPr>
          <w:rFonts w:cs="Arial"/>
          <w:b w:val="0"/>
          <w:sz w:val="24"/>
          <w:szCs w:val="24"/>
        </w:rPr>
        <w:t xml:space="preserve"> for NTN</w:t>
      </w:r>
    </w:p>
    <w:p w:rsidR="00361B7F" w:rsidRPr="00803965" w:rsidRDefault="00361B7F" w:rsidP="00361B7F">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Pr="00A37E13">
        <w:rPr>
          <w:rFonts w:cs="Arial"/>
          <w:b w:val="0"/>
          <w:sz w:val="24"/>
          <w:szCs w:val="24"/>
        </w:rPr>
        <w:t>Fr</w:t>
      </w:r>
      <w:r w:rsidRPr="00803965">
        <w:rPr>
          <w:rFonts w:cs="Arial"/>
          <w:b w:val="0"/>
          <w:sz w:val="24"/>
          <w:szCs w:val="24"/>
        </w:rPr>
        <w:t>aunhofer IIS, Fraunhofer HHI</w:t>
      </w:r>
    </w:p>
    <w:p w:rsidR="00361B7F" w:rsidRDefault="00361B7F" w:rsidP="00BB3854">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sidR="00BB3854">
        <w:rPr>
          <w:rFonts w:cs="Arial"/>
          <w:b w:val="0"/>
          <w:sz w:val="24"/>
          <w:szCs w:val="24"/>
        </w:rPr>
        <w:t xml:space="preserve">8.4.2–Enhancements on UL Time and Frequency Synchronization </w:t>
      </w:r>
    </w:p>
    <w:p w:rsidR="00361B7F" w:rsidRPr="007746E8" w:rsidRDefault="00361B7F" w:rsidP="00361B7F">
      <w:pPr>
        <w:pStyle w:val="TdocHeader2"/>
        <w:tabs>
          <w:tab w:val="clear" w:pos="1701"/>
          <w:tab w:val="left" w:pos="2127"/>
        </w:tabs>
        <w:spacing w:before="240"/>
        <w:rPr>
          <w:rFonts w:cs="Arial"/>
          <w:sz w:val="24"/>
          <w:szCs w:val="24"/>
        </w:rPr>
      </w:pPr>
      <w:proofErr w:type="spellStart"/>
      <w:r w:rsidRPr="009D36EB">
        <w:rPr>
          <w:rFonts w:cs="Arial"/>
          <w:sz w:val="24"/>
          <w:szCs w:val="24"/>
        </w:rPr>
        <w:t>TDoc</w:t>
      </w:r>
      <w:proofErr w:type="spellEnd"/>
      <w:r w:rsidRPr="009D36EB">
        <w:rPr>
          <w:rFonts w:cs="Arial"/>
          <w:sz w:val="24"/>
          <w:szCs w:val="24"/>
        </w:rPr>
        <w:t xml:space="preserve"> Type:</w:t>
      </w:r>
      <w:r>
        <w:rPr>
          <w:rFonts w:cs="Arial"/>
          <w:b w:val="0"/>
          <w:sz w:val="24"/>
          <w:szCs w:val="24"/>
        </w:rPr>
        <w:tab/>
        <w:t>Discussion</w:t>
      </w:r>
    </w:p>
    <w:p w:rsidR="00361B7F" w:rsidRPr="007746E8" w:rsidRDefault="00361B7F" w:rsidP="00361B7F">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Pr>
          <w:rFonts w:cs="Arial"/>
          <w:b w:val="0"/>
          <w:sz w:val="24"/>
          <w:szCs w:val="24"/>
        </w:rPr>
        <w:t>Decision</w:t>
      </w:r>
    </w:p>
    <w:p w:rsidR="0017328F" w:rsidRDefault="0017328F"/>
    <w:p w:rsidR="00361B7F" w:rsidRPr="006F083D" w:rsidRDefault="00361B7F" w:rsidP="00361B7F">
      <w:pPr>
        <w:pStyle w:val="Heading1"/>
        <w:tabs>
          <w:tab w:val="clear" w:pos="432"/>
        </w:tabs>
        <w:textAlignment w:val="auto"/>
      </w:pPr>
      <w:r w:rsidRPr="006F083D">
        <w:t>Introduction</w:t>
      </w:r>
    </w:p>
    <w:p w:rsidR="00361B7F" w:rsidRDefault="00995DF4" w:rsidP="00995DF4">
      <w:pPr>
        <w:spacing w:after="0"/>
        <w:rPr>
          <w:szCs w:val="22"/>
        </w:rPr>
      </w:pPr>
      <w:r>
        <w:rPr>
          <w:szCs w:val="22"/>
        </w:rPr>
        <w:t>In RAN1#105</w:t>
      </w:r>
      <w:r w:rsidR="00361B7F" w:rsidRPr="002C0BFF">
        <w:rPr>
          <w:szCs w:val="22"/>
        </w:rPr>
        <w:t xml:space="preserve">-e, the following </w:t>
      </w:r>
      <w:r>
        <w:rPr>
          <w:szCs w:val="22"/>
        </w:rPr>
        <w:t>recommendation is captured in feature lead (FL) summary with respect to common timing advance (TA) signaling:</w:t>
      </w:r>
    </w:p>
    <w:p w:rsidR="00782424" w:rsidRPr="002C0BFF" w:rsidRDefault="00782424" w:rsidP="00262497">
      <w:pPr>
        <w:spacing w:after="0"/>
        <w:rPr>
          <w:szCs w:val="22"/>
        </w:rPr>
      </w:pPr>
    </w:p>
    <w:p w:rsidR="00361B7F" w:rsidRDefault="00361B7F" w:rsidP="00361B7F">
      <w:pPr>
        <w:spacing w:after="0"/>
      </w:pPr>
    </w:p>
    <w:p w:rsidR="00361B7F" w:rsidRPr="00615D5A" w:rsidRDefault="00361B7F" w:rsidP="00361B7F">
      <w:pPr>
        <w:spacing w:after="0"/>
      </w:pPr>
      <w:r w:rsidRPr="00382EB7">
        <w:rPr>
          <w:b/>
          <w:noProof/>
          <w:lang w:val="en-US" w:eastAsia="en-US"/>
        </w:rPr>
        <mc:AlternateContent>
          <mc:Choice Requires="wps">
            <w:drawing>
              <wp:inline distT="0" distB="0" distL="0" distR="0" wp14:anchorId="7858F049" wp14:editId="07072539">
                <wp:extent cx="5932627" cy="4947857"/>
                <wp:effectExtent l="0" t="0" r="11430" b="247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4947857"/>
                        </a:xfrm>
                        <a:prstGeom prst="rect">
                          <a:avLst/>
                        </a:prstGeom>
                        <a:solidFill>
                          <a:srgbClr val="FFFFFF"/>
                        </a:solidFill>
                        <a:ln w="9525">
                          <a:solidFill>
                            <a:srgbClr val="000000"/>
                          </a:solidFill>
                          <a:miter lim="800000"/>
                          <a:headEnd/>
                          <a:tailEnd/>
                        </a:ln>
                      </wps:spPr>
                      <wps:txbx>
                        <w:txbxContent>
                          <w:p w:rsidR="00A43DA0" w:rsidRPr="00361B7F" w:rsidRDefault="00995DF4" w:rsidP="00361B7F">
                            <w:pPr>
                              <w:rPr>
                                <w:b/>
                                <w:bCs/>
                                <w:szCs w:val="22"/>
                              </w:rPr>
                            </w:pPr>
                            <w:r>
                              <w:rPr>
                                <w:b/>
                                <w:bCs/>
                                <w:szCs w:val="22"/>
                              </w:rPr>
                              <w:t>RAN1#105</w:t>
                            </w:r>
                            <w:r w:rsidR="00A43DA0" w:rsidRPr="00361B7F">
                              <w:rPr>
                                <w:b/>
                                <w:bCs/>
                                <w:szCs w:val="22"/>
                              </w:rPr>
                              <w:t>-e:</w:t>
                            </w:r>
                          </w:p>
                          <w:p w:rsidR="00995DF4" w:rsidRPr="00995DF4" w:rsidRDefault="00995DF4" w:rsidP="00995DF4">
                            <w:pPr>
                              <w:spacing w:after="0"/>
                              <w:rPr>
                                <w:rFonts w:eastAsia="Calibri"/>
                                <w:b/>
                                <w:bCs/>
                                <w:color w:val="000000"/>
                                <w:sz w:val="20"/>
                                <w:shd w:val="clear" w:color="auto" w:fill="FFFF00"/>
                                <w:lang w:val="en-US" w:eastAsia="fr-FR"/>
                              </w:rPr>
                            </w:pPr>
                            <w:r w:rsidRPr="00995DF4">
                              <w:rPr>
                                <w:rFonts w:eastAsia="Calibri"/>
                                <w:b/>
                                <w:bCs/>
                                <w:color w:val="000000"/>
                                <w:sz w:val="20"/>
                                <w:shd w:val="clear" w:color="auto" w:fill="FFFF00"/>
                                <w:lang w:val="en-US" w:eastAsia="fr-FR"/>
                              </w:rPr>
                              <w:t>Proposal 2 rev5:</w:t>
                            </w:r>
                          </w:p>
                          <w:p w:rsidR="00995DF4" w:rsidRPr="00995DF4" w:rsidRDefault="00995DF4" w:rsidP="00995DF4">
                            <w:pPr>
                              <w:spacing w:after="0"/>
                              <w:rPr>
                                <w:rFonts w:eastAsia="Calibri"/>
                                <w:sz w:val="20"/>
                                <w:lang w:val="en-US" w:eastAsia="fr-FR"/>
                              </w:rPr>
                            </w:pPr>
                          </w:p>
                          <w:p w:rsidR="00995DF4" w:rsidRPr="00995DF4" w:rsidRDefault="00995DF4" w:rsidP="00995DF4">
                            <w:pPr>
                              <w:spacing w:after="0"/>
                              <w:rPr>
                                <w:rFonts w:eastAsia="Calibri"/>
                                <w:b/>
                                <w:bCs/>
                                <w:sz w:val="20"/>
                                <w:lang w:val="en-US" w:eastAsia="fr-FR"/>
                              </w:rPr>
                            </w:pPr>
                            <w:r w:rsidRPr="00995DF4">
                              <w:rPr>
                                <w:rFonts w:eastAsia="Calibri"/>
                                <w:b/>
                                <w:bCs/>
                                <w:sz w:val="20"/>
                                <w:lang w:val="en-US" w:eastAsia="fr-FR"/>
                              </w:rPr>
                              <w:t>If feeder link timing drift is to be compensated by UE using common TA parameters, the Network may periodically broadcast:</w:t>
                            </w:r>
                          </w:p>
                          <w:p w:rsidR="00995DF4" w:rsidRPr="00995DF4" w:rsidRDefault="00995DF4" w:rsidP="00995DF4">
                            <w:pPr>
                              <w:spacing w:after="0"/>
                              <w:rPr>
                                <w:rFonts w:eastAsia="Calibri"/>
                                <w:sz w:val="20"/>
                                <w:lang w:eastAsia="fr-FR"/>
                              </w:rPr>
                            </w:pPr>
                          </w:p>
                          <w:p w:rsidR="00995DF4" w:rsidRPr="00995DF4" w:rsidRDefault="00995DF4" w:rsidP="00995DF4">
                            <w:pPr>
                              <w:spacing w:after="0"/>
                              <w:ind w:left="1140" w:hanging="360"/>
                              <w:rPr>
                                <w:rFonts w:eastAsia="Calibri"/>
                                <w:b/>
                                <w:bCs/>
                                <w:sz w:val="20"/>
                                <w:lang w:val="en-US" w:eastAsia="fr-FR"/>
                              </w:rPr>
                            </w:pPr>
                            <w:r w:rsidRPr="00995DF4">
                              <w:rPr>
                                <w:rFonts w:ascii="Wingdings" w:eastAsia="Calibri" w:hAnsi="Wingdings"/>
                                <w:sz w:val="20"/>
                                <w:lang w:val="en-US" w:eastAsia="fr-FR"/>
                              </w:rPr>
                              <w:t></w:t>
                            </w:r>
                            <w:r w:rsidRPr="00995DF4">
                              <w:rPr>
                                <w:rFonts w:eastAsia="Calibri"/>
                                <w:sz w:val="20"/>
                                <w:lang w:val="en-US" w:eastAsia="fr-FR"/>
                              </w:rPr>
                              <w:t xml:space="preserve">  </w:t>
                            </w:r>
                            <w:r w:rsidRPr="00995DF4">
                              <w:rPr>
                                <w:rFonts w:eastAsia="Calibri"/>
                                <w:b/>
                                <w:bCs/>
                                <w:sz w:val="20"/>
                                <w:lang w:val="en-US" w:eastAsia="fr-FR"/>
                              </w:rPr>
                              <w:t>Common delay</w:t>
                            </w:r>
                          </w:p>
                          <w:p w:rsidR="00995DF4" w:rsidRPr="00995DF4" w:rsidRDefault="00995DF4" w:rsidP="00995DF4">
                            <w:pPr>
                              <w:spacing w:after="0"/>
                              <w:ind w:left="1140" w:hanging="360"/>
                              <w:rPr>
                                <w:rFonts w:eastAsia="Calibri"/>
                                <w:sz w:val="20"/>
                                <w:lang w:val="en-US" w:eastAsia="fr-FR"/>
                              </w:rPr>
                            </w:pPr>
                            <w:r w:rsidRPr="00995DF4">
                              <w:rPr>
                                <w:rFonts w:ascii="Wingdings" w:eastAsia="Calibri" w:hAnsi="Wingdings"/>
                                <w:sz w:val="20"/>
                                <w:lang w:val="en-US" w:eastAsia="fr-FR"/>
                              </w:rPr>
                              <w:t></w:t>
                            </w:r>
                            <w:r w:rsidRPr="00995DF4">
                              <w:rPr>
                                <w:rFonts w:eastAsia="Calibri"/>
                                <w:sz w:val="20"/>
                                <w:lang w:val="en-US" w:eastAsia="fr-FR"/>
                              </w:rPr>
                              <w:t xml:space="preserve">  </w:t>
                            </w:r>
                            <w:r w:rsidRPr="00995DF4">
                              <w:rPr>
                                <w:rFonts w:eastAsia="Calibri"/>
                                <w:b/>
                                <w:bCs/>
                                <w:sz w:val="20"/>
                                <w:lang w:val="en-US" w:eastAsia="fr-FR"/>
                              </w:rPr>
                              <w:t>Common delay drift rate </w:t>
                            </w:r>
                          </w:p>
                          <w:p w:rsidR="00995DF4" w:rsidRPr="00995DF4" w:rsidRDefault="00995DF4" w:rsidP="00995DF4">
                            <w:pPr>
                              <w:spacing w:after="0"/>
                              <w:ind w:left="1140" w:hanging="360"/>
                              <w:rPr>
                                <w:rFonts w:eastAsia="Calibri"/>
                                <w:b/>
                                <w:bCs/>
                                <w:sz w:val="20"/>
                                <w:lang w:val="en-US" w:eastAsia="fr-FR"/>
                              </w:rPr>
                            </w:pPr>
                            <w:r w:rsidRPr="00995DF4">
                              <w:rPr>
                                <w:rFonts w:ascii="Wingdings" w:eastAsia="Calibri" w:hAnsi="Wingdings"/>
                                <w:sz w:val="20"/>
                                <w:lang w:val="en-US" w:eastAsia="fr-FR"/>
                              </w:rPr>
                              <w:t></w:t>
                            </w:r>
                            <w:r w:rsidRPr="00995DF4">
                              <w:rPr>
                                <w:rFonts w:eastAsia="Calibri"/>
                                <w:sz w:val="20"/>
                                <w:lang w:val="en-US" w:eastAsia="fr-FR"/>
                              </w:rPr>
                              <w:t xml:space="preserve">  </w:t>
                            </w:r>
                            <w:r w:rsidRPr="00995DF4">
                              <w:rPr>
                                <w:rFonts w:eastAsia="Calibri"/>
                                <w:b/>
                                <w:bCs/>
                                <w:color w:val="FF0000"/>
                                <w:sz w:val="20"/>
                                <w:lang w:val="en-US" w:eastAsia="fr-FR"/>
                              </w:rPr>
                              <w:t>FFS:</w:t>
                            </w:r>
                            <w:r w:rsidRPr="00995DF4">
                              <w:rPr>
                                <w:rFonts w:eastAsia="Calibri"/>
                                <w:color w:val="FF0000"/>
                                <w:sz w:val="20"/>
                                <w:lang w:val="en-US" w:eastAsia="fr-FR"/>
                              </w:rPr>
                              <w:t xml:space="preserve">  </w:t>
                            </w:r>
                            <w:r w:rsidRPr="00995DF4">
                              <w:rPr>
                                <w:rFonts w:eastAsia="Calibri"/>
                                <w:b/>
                                <w:bCs/>
                                <w:color w:val="FF0000"/>
                                <w:sz w:val="20"/>
                                <w:lang w:val="en-US" w:eastAsia="fr-FR"/>
                              </w:rPr>
                              <w:t>High-</w:t>
                            </w:r>
                            <w:r w:rsidRPr="00995DF4">
                              <w:rPr>
                                <w:rFonts w:eastAsia="Calibri"/>
                                <w:b/>
                                <w:bCs/>
                                <w:sz w:val="20"/>
                                <w:lang w:val="en-US" w:eastAsia="fr-FR"/>
                              </w:rPr>
                              <w:t xml:space="preserve">order derivative of Common Delay drift </w:t>
                            </w:r>
                          </w:p>
                          <w:p w:rsidR="00995DF4" w:rsidRPr="00995DF4" w:rsidRDefault="00995DF4" w:rsidP="00995DF4">
                            <w:pPr>
                              <w:spacing w:after="0"/>
                              <w:ind w:left="1140" w:hanging="360"/>
                              <w:rPr>
                                <w:rFonts w:eastAsia="Calibri"/>
                                <w:b/>
                                <w:bCs/>
                                <w:color w:val="FF0000"/>
                                <w:sz w:val="20"/>
                                <w:lang w:val="en-US" w:eastAsia="fr-FR"/>
                              </w:rPr>
                            </w:pPr>
                            <w:r w:rsidRPr="00995DF4">
                              <w:rPr>
                                <w:rFonts w:ascii="Wingdings" w:eastAsia="Calibri" w:hAnsi="Wingdings"/>
                                <w:sz w:val="20"/>
                                <w:lang w:val="en-US" w:eastAsia="fr-FR"/>
                              </w:rPr>
                              <w:t></w:t>
                            </w:r>
                            <w:r w:rsidRPr="00995DF4">
                              <w:rPr>
                                <w:rFonts w:eastAsia="Calibri"/>
                                <w:sz w:val="20"/>
                                <w:lang w:val="en-US" w:eastAsia="fr-FR"/>
                              </w:rPr>
                              <w:t xml:space="preserve">  </w:t>
                            </w:r>
                            <w:r w:rsidRPr="00995DF4">
                              <w:rPr>
                                <w:rFonts w:eastAsia="Calibri"/>
                                <w:b/>
                                <w:bCs/>
                                <w:color w:val="FF0000"/>
                                <w:sz w:val="20"/>
                                <w:lang w:val="en-US" w:eastAsia="fr-FR"/>
                              </w:rPr>
                              <w:t>FFS: Series of Common TA parameter</w:t>
                            </w:r>
                          </w:p>
                          <w:p w:rsidR="00995DF4" w:rsidRPr="00995DF4" w:rsidRDefault="00995DF4" w:rsidP="00995DF4">
                            <w:pPr>
                              <w:spacing w:after="0"/>
                              <w:rPr>
                                <w:rFonts w:eastAsia="Calibri"/>
                                <w:b/>
                                <w:bCs/>
                                <w:sz w:val="20"/>
                                <w:lang w:val="en-US" w:eastAsia="fr-FR"/>
                              </w:rPr>
                            </w:pPr>
                          </w:p>
                          <w:p w:rsidR="00995DF4" w:rsidRPr="00995DF4" w:rsidRDefault="00995DF4" w:rsidP="00995DF4">
                            <w:pPr>
                              <w:spacing w:after="0"/>
                              <w:rPr>
                                <w:rFonts w:eastAsia="Calibri"/>
                                <w:b/>
                                <w:bCs/>
                                <w:color w:val="FF0000"/>
                                <w:sz w:val="20"/>
                                <w:lang w:val="en-US" w:eastAsia="fr-FR"/>
                              </w:rPr>
                            </w:pPr>
                            <w:r w:rsidRPr="00995DF4">
                              <w:rPr>
                                <w:rFonts w:eastAsia="Calibri"/>
                                <w:b/>
                                <w:bCs/>
                                <w:color w:val="FF0000"/>
                                <w:sz w:val="20"/>
                                <w:lang w:val="en-US" w:eastAsia="fr-FR"/>
                              </w:rPr>
                              <w:t>If feeder link timing drift is compensated by Network, the Network may periodically broadcast:</w:t>
                            </w:r>
                          </w:p>
                          <w:p w:rsidR="00995DF4" w:rsidRPr="00995DF4" w:rsidRDefault="00995DF4" w:rsidP="00995DF4">
                            <w:pPr>
                              <w:spacing w:after="0"/>
                              <w:ind w:left="1140" w:hanging="360"/>
                              <w:rPr>
                                <w:rFonts w:eastAsia="Calibri"/>
                                <w:b/>
                                <w:bCs/>
                                <w:sz w:val="20"/>
                                <w:lang w:val="en-US" w:eastAsia="fr-FR"/>
                              </w:rPr>
                            </w:pPr>
                            <w:r w:rsidRPr="00995DF4">
                              <w:rPr>
                                <w:rFonts w:ascii="Wingdings" w:eastAsia="Calibri" w:hAnsi="Wingdings"/>
                                <w:sz w:val="20"/>
                                <w:lang w:val="en-US" w:eastAsia="fr-FR"/>
                              </w:rPr>
                              <w:t></w:t>
                            </w:r>
                            <w:r w:rsidRPr="00995DF4">
                              <w:rPr>
                                <w:rFonts w:eastAsia="Calibri"/>
                                <w:sz w:val="20"/>
                                <w:lang w:val="en-US" w:eastAsia="fr-FR"/>
                              </w:rPr>
                              <w:t xml:space="preserve">  </w:t>
                            </w:r>
                            <w:r w:rsidRPr="00995DF4">
                              <w:rPr>
                                <w:rFonts w:eastAsia="Calibri"/>
                                <w:b/>
                                <w:bCs/>
                                <w:sz w:val="20"/>
                                <w:lang w:val="en-US" w:eastAsia="fr-FR"/>
                              </w:rPr>
                              <w:t>Common delay</w:t>
                            </w:r>
                          </w:p>
                          <w:p w:rsidR="00995DF4" w:rsidRPr="00995DF4" w:rsidRDefault="00995DF4" w:rsidP="00995DF4">
                            <w:pPr>
                              <w:spacing w:after="0"/>
                              <w:ind w:left="1140" w:hanging="360"/>
                              <w:rPr>
                                <w:rFonts w:eastAsia="Calibri"/>
                                <w:b/>
                                <w:bCs/>
                                <w:sz w:val="20"/>
                                <w:lang w:val="en-US" w:eastAsia="fr-FR"/>
                              </w:rPr>
                            </w:pPr>
                          </w:p>
                          <w:p w:rsidR="00995DF4" w:rsidRPr="00995DF4" w:rsidRDefault="00995DF4" w:rsidP="00995DF4">
                            <w:pPr>
                              <w:spacing w:after="0"/>
                              <w:rPr>
                                <w:rFonts w:eastAsia="Calibri"/>
                                <w:b/>
                                <w:bCs/>
                                <w:sz w:val="20"/>
                                <w:lang w:val="en-US" w:eastAsia="fr-FR"/>
                              </w:rPr>
                            </w:pPr>
                            <w:r w:rsidRPr="00995DF4">
                              <w:rPr>
                                <w:rFonts w:eastAsia="Calibri"/>
                                <w:b/>
                                <w:bCs/>
                                <w:sz w:val="20"/>
                                <w:lang w:val="en-US" w:eastAsia="fr-FR"/>
                              </w:rPr>
                              <w:t>In case of network not indicating these parameters, common delay and common delay drift rate are equal to zero by default.</w:t>
                            </w:r>
                          </w:p>
                          <w:p w:rsidR="00995DF4" w:rsidRPr="00995DF4" w:rsidRDefault="00995DF4" w:rsidP="00995DF4">
                            <w:pPr>
                              <w:rPr>
                                <w:sz w:val="20"/>
                                <w:lang w:val="en-US"/>
                              </w:rPr>
                            </w:pPr>
                          </w:p>
                          <w:p w:rsidR="00995DF4" w:rsidRPr="00995DF4" w:rsidRDefault="00995DF4" w:rsidP="00995DF4">
                            <w:pPr>
                              <w:rPr>
                                <w:sz w:val="20"/>
                                <w:lang w:val="en-US"/>
                              </w:rPr>
                            </w:pPr>
                            <w:r w:rsidRPr="00995DF4">
                              <w:rPr>
                                <w:sz w:val="20"/>
                                <w:lang w:val="en-US"/>
                              </w:rPr>
                              <w:t>The proposal was discussed in GTW session held on May 27</w:t>
                            </w:r>
                            <w:r w:rsidRPr="00995DF4">
                              <w:rPr>
                                <w:sz w:val="20"/>
                                <w:vertAlign w:val="superscript"/>
                                <w:lang w:val="en-US"/>
                              </w:rPr>
                              <w:t>th</w:t>
                            </w:r>
                            <w:r w:rsidRPr="00995DF4">
                              <w:rPr>
                                <w:sz w:val="20"/>
                                <w:lang w:val="en-US"/>
                              </w:rPr>
                              <w:t xml:space="preserve"> but it was not acceptable to everyone. There was mainly an objection from one company that needs more time to make sure having feeder link timing drift compensated by UE using Common TA parameters is feasible </w:t>
                            </w:r>
                            <w:r w:rsidRPr="00995DF4">
                              <w:rPr>
                                <w:b/>
                                <w:sz w:val="20"/>
                                <w:lang w:val="en-US"/>
                              </w:rPr>
                              <w:t>especially for FR2</w:t>
                            </w:r>
                            <w:r w:rsidRPr="00995DF4">
                              <w:rPr>
                                <w:sz w:val="20"/>
                                <w:lang w:val="en-US"/>
                              </w:rPr>
                              <w:t>.</w:t>
                            </w:r>
                          </w:p>
                          <w:p w:rsidR="00995DF4" w:rsidRPr="00995DF4" w:rsidRDefault="00995DF4" w:rsidP="00995DF4">
                            <w:pPr>
                              <w:rPr>
                                <w:b/>
                                <w:sz w:val="20"/>
                                <w:highlight w:val="cyan"/>
                                <w:lang w:val="en-US"/>
                              </w:rPr>
                            </w:pPr>
                            <w:r w:rsidRPr="00995DF4">
                              <w:rPr>
                                <w:b/>
                                <w:sz w:val="20"/>
                                <w:highlight w:val="cyan"/>
                                <w:lang w:val="en-US"/>
                              </w:rPr>
                              <w:t>FL Recommendation 2:</w:t>
                            </w:r>
                          </w:p>
                          <w:p w:rsidR="00995DF4" w:rsidRPr="00995DF4" w:rsidRDefault="00995DF4" w:rsidP="00995DF4">
                            <w:pPr>
                              <w:rPr>
                                <w:b/>
                                <w:sz w:val="20"/>
                                <w:lang w:val="en-US"/>
                              </w:rPr>
                            </w:pPr>
                            <w:r w:rsidRPr="00995DF4">
                              <w:rPr>
                                <w:b/>
                                <w:sz w:val="20"/>
                                <w:lang w:val="en-US"/>
                              </w:rPr>
                              <w:t>On the feasibility of feeder link time drift handling by the UE  companies are:</w:t>
                            </w:r>
                          </w:p>
                          <w:p w:rsidR="00995DF4" w:rsidRPr="00995DF4" w:rsidRDefault="00995DF4" w:rsidP="00995DF4">
                            <w:pPr>
                              <w:pStyle w:val="ListParagraph"/>
                              <w:numPr>
                                <w:ilvl w:val="0"/>
                                <w:numId w:val="33"/>
                              </w:numPr>
                              <w:spacing w:after="180" w:line="240" w:lineRule="auto"/>
                              <w:contextualSpacing w:val="0"/>
                              <w:rPr>
                                <w:b/>
                                <w:sz w:val="20"/>
                                <w:szCs w:val="20"/>
                              </w:rPr>
                            </w:pPr>
                            <w:r w:rsidRPr="00995DF4">
                              <w:rPr>
                                <w:b/>
                                <w:sz w:val="20"/>
                                <w:szCs w:val="20"/>
                              </w:rPr>
                              <w:t xml:space="preserve">Highly encouraged to carry out simulations and provide numbers in RAN1#106-e by taking into account the different error budgets : errors due to satellite ephemeris accuracy (maximum errors on satellite position as known by </w:t>
                            </w:r>
                            <w:proofErr w:type="spellStart"/>
                            <w:r w:rsidRPr="00995DF4">
                              <w:rPr>
                                <w:b/>
                                <w:sz w:val="20"/>
                                <w:szCs w:val="20"/>
                              </w:rPr>
                              <w:t>gNB</w:t>
                            </w:r>
                            <w:proofErr w:type="spellEnd"/>
                            <w:r w:rsidRPr="00995DF4">
                              <w:rPr>
                                <w:b/>
                                <w:sz w:val="20"/>
                                <w:szCs w:val="20"/>
                              </w:rPr>
                              <w:t xml:space="preserve">) errors due quantization of common TA parameters, error due ageing of Common TA parameters when indicated to the UE. </w:t>
                            </w:r>
                          </w:p>
                          <w:p w:rsidR="00995DF4" w:rsidRPr="00995DF4" w:rsidRDefault="00995DF4" w:rsidP="00995DF4">
                            <w:pPr>
                              <w:pStyle w:val="ListParagraph"/>
                              <w:numPr>
                                <w:ilvl w:val="0"/>
                                <w:numId w:val="33"/>
                              </w:numPr>
                              <w:spacing w:after="180" w:line="240" w:lineRule="auto"/>
                              <w:contextualSpacing w:val="0"/>
                              <w:rPr>
                                <w:b/>
                                <w:sz w:val="20"/>
                                <w:szCs w:val="20"/>
                              </w:rPr>
                            </w:pPr>
                            <w:r w:rsidRPr="00995DF4">
                              <w:rPr>
                                <w:b/>
                                <w:sz w:val="20"/>
                                <w:szCs w:val="20"/>
                              </w:rPr>
                              <w:t>Encouraged to provide more inputs on the suitable Common TA parameters that need to be indicated by the Network if feeder link timing drift is to be compensated by UE using common TA parameters.</w:t>
                            </w:r>
                          </w:p>
                          <w:p w:rsidR="00A43DA0" w:rsidRPr="00995DF4" w:rsidRDefault="00A43DA0" w:rsidP="00262497">
                            <w:pPr>
                              <w:spacing w:after="0"/>
                              <w:rPr>
                                <w:rFonts w:asciiTheme="minorBidi" w:hAnsiTheme="minorBidi" w:cstheme="minorBidi"/>
                                <w:sz w:val="16"/>
                                <w:szCs w:val="16"/>
                                <w:lang w:val="en-US" w:eastAsia="x-none"/>
                              </w:rPr>
                            </w:pPr>
                          </w:p>
                        </w:txbxContent>
                      </wps:txbx>
                      <wps:bodyPr rot="0" vert="horz" wrap="square" lIns="91440" tIns="45720" rIns="91440" bIns="45720" anchor="t" anchorCtr="0">
                        <a:noAutofit/>
                      </wps:bodyPr>
                    </wps:wsp>
                  </a:graphicData>
                </a:graphic>
              </wp:inline>
            </w:drawing>
          </mc:Choice>
          <mc:Fallback>
            <w:pict>
              <v:shapetype w14:anchorId="7858F049" id="_x0000_t202" coordsize="21600,21600" o:spt="202" path="m,l,21600r21600,l21600,xe">
                <v:stroke joinstyle="miter"/>
                <v:path gradientshapeok="t" o:connecttype="rect"/>
              </v:shapetype>
              <v:shape id="文本框 2" o:spid="_x0000_s1026" type="#_x0000_t202" style="width:467.15pt;height:3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">
                <v:textbox>
                  <w:txbxContent>
                    <w:p w:rsidR="00A43DA0" w:rsidRPr="00361B7F" w:rsidRDefault="00995DF4" w:rsidP="00361B7F">
                      <w:pPr>
                        <w:rPr>
                          <w:b/>
                          <w:bCs/>
                          <w:szCs w:val="22"/>
                        </w:rPr>
                      </w:pPr>
                      <w:r>
                        <w:rPr>
                          <w:b/>
                          <w:bCs/>
                          <w:szCs w:val="22"/>
                        </w:rPr>
                        <w:t>RAN1#105</w:t>
                      </w:r>
                      <w:r w:rsidR="00A43DA0" w:rsidRPr="00361B7F">
                        <w:rPr>
                          <w:b/>
                          <w:bCs/>
                          <w:szCs w:val="22"/>
                        </w:rPr>
                        <w:t>-e:</w:t>
                      </w:r>
                    </w:p>
                    <w:p w:rsidR="00995DF4" w:rsidRPr="00995DF4" w:rsidRDefault="00995DF4" w:rsidP="00995DF4">
                      <w:pPr>
                        <w:spacing w:after="0"/>
                        <w:rPr>
                          <w:rFonts w:eastAsia="Calibri"/>
                          <w:b/>
                          <w:bCs/>
                          <w:color w:val="000000"/>
                          <w:sz w:val="20"/>
                          <w:shd w:val="clear" w:color="auto" w:fill="FFFF00"/>
                          <w:lang w:val="en-US" w:eastAsia="fr-FR"/>
                        </w:rPr>
                      </w:pPr>
                      <w:r w:rsidRPr="00995DF4">
                        <w:rPr>
                          <w:rFonts w:eastAsia="Calibri"/>
                          <w:b/>
                          <w:bCs/>
                          <w:color w:val="000000"/>
                          <w:sz w:val="20"/>
                          <w:shd w:val="clear" w:color="auto" w:fill="FFFF00"/>
                          <w:lang w:val="en-US" w:eastAsia="fr-FR"/>
                        </w:rPr>
                        <w:t>Proposal 2 rev5:</w:t>
                      </w:r>
                    </w:p>
                    <w:p w:rsidR="00995DF4" w:rsidRPr="00995DF4" w:rsidRDefault="00995DF4" w:rsidP="00995DF4">
                      <w:pPr>
                        <w:spacing w:after="0"/>
                        <w:rPr>
                          <w:rFonts w:eastAsia="Calibri"/>
                          <w:sz w:val="20"/>
                          <w:lang w:val="en-US" w:eastAsia="fr-FR"/>
                        </w:rPr>
                      </w:pPr>
                    </w:p>
                    <w:p w:rsidR="00995DF4" w:rsidRPr="00995DF4" w:rsidRDefault="00995DF4" w:rsidP="00995DF4">
                      <w:pPr>
                        <w:spacing w:after="0"/>
                        <w:rPr>
                          <w:rFonts w:eastAsia="Calibri"/>
                          <w:b/>
                          <w:bCs/>
                          <w:sz w:val="20"/>
                          <w:lang w:val="en-US" w:eastAsia="fr-FR"/>
                        </w:rPr>
                      </w:pPr>
                      <w:r w:rsidRPr="00995DF4">
                        <w:rPr>
                          <w:rFonts w:eastAsia="Calibri"/>
                          <w:b/>
                          <w:bCs/>
                          <w:sz w:val="20"/>
                          <w:lang w:val="en-US" w:eastAsia="fr-FR"/>
                        </w:rPr>
                        <w:t>If feeder link timing drift is to be compensated by UE using common TA parameters, the Network may periodically broadcast:</w:t>
                      </w:r>
                    </w:p>
                    <w:p w:rsidR="00995DF4" w:rsidRPr="00995DF4" w:rsidRDefault="00995DF4" w:rsidP="00995DF4">
                      <w:pPr>
                        <w:spacing w:after="0"/>
                        <w:rPr>
                          <w:rFonts w:eastAsia="Calibri"/>
                          <w:sz w:val="20"/>
                          <w:lang w:eastAsia="fr-FR"/>
                        </w:rPr>
                      </w:pPr>
                    </w:p>
                    <w:p w:rsidR="00995DF4" w:rsidRPr="00995DF4" w:rsidRDefault="00995DF4" w:rsidP="00995DF4">
                      <w:pPr>
                        <w:spacing w:after="0"/>
                        <w:ind w:left="1140" w:hanging="360"/>
                        <w:rPr>
                          <w:rFonts w:eastAsia="Calibri"/>
                          <w:b/>
                          <w:bCs/>
                          <w:sz w:val="20"/>
                          <w:lang w:val="en-US" w:eastAsia="fr-FR"/>
                        </w:rPr>
                      </w:pPr>
                      <w:r w:rsidRPr="00995DF4">
                        <w:rPr>
                          <w:rFonts w:ascii="Wingdings" w:eastAsia="Calibri" w:hAnsi="Wingdings"/>
                          <w:sz w:val="20"/>
                          <w:lang w:val="en-US" w:eastAsia="fr-FR"/>
                        </w:rPr>
                        <w:t></w:t>
                      </w:r>
                      <w:r w:rsidRPr="00995DF4">
                        <w:rPr>
                          <w:rFonts w:eastAsia="Calibri"/>
                          <w:sz w:val="20"/>
                          <w:lang w:val="en-US" w:eastAsia="fr-FR"/>
                        </w:rPr>
                        <w:t xml:space="preserve">  </w:t>
                      </w:r>
                      <w:r w:rsidRPr="00995DF4">
                        <w:rPr>
                          <w:rFonts w:eastAsia="Calibri"/>
                          <w:b/>
                          <w:bCs/>
                          <w:sz w:val="20"/>
                          <w:lang w:val="en-US" w:eastAsia="fr-FR"/>
                        </w:rPr>
                        <w:t>Common delay</w:t>
                      </w:r>
                    </w:p>
                    <w:p w:rsidR="00995DF4" w:rsidRPr="00995DF4" w:rsidRDefault="00995DF4" w:rsidP="00995DF4">
                      <w:pPr>
                        <w:spacing w:after="0"/>
                        <w:ind w:left="1140" w:hanging="360"/>
                        <w:rPr>
                          <w:rFonts w:eastAsia="Calibri"/>
                          <w:sz w:val="20"/>
                          <w:lang w:val="en-US" w:eastAsia="fr-FR"/>
                        </w:rPr>
                      </w:pPr>
                      <w:r w:rsidRPr="00995DF4">
                        <w:rPr>
                          <w:rFonts w:ascii="Wingdings" w:eastAsia="Calibri" w:hAnsi="Wingdings"/>
                          <w:sz w:val="20"/>
                          <w:lang w:val="en-US" w:eastAsia="fr-FR"/>
                        </w:rPr>
                        <w:t></w:t>
                      </w:r>
                      <w:r w:rsidRPr="00995DF4">
                        <w:rPr>
                          <w:rFonts w:eastAsia="Calibri"/>
                          <w:sz w:val="20"/>
                          <w:lang w:val="en-US" w:eastAsia="fr-FR"/>
                        </w:rPr>
                        <w:t xml:space="preserve">  </w:t>
                      </w:r>
                      <w:r w:rsidRPr="00995DF4">
                        <w:rPr>
                          <w:rFonts w:eastAsia="Calibri"/>
                          <w:b/>
                          <w:bCs/>
                          <w:sz w:val="20"/>
                          <w:lang w:val="en-US" w:eastAsia="fr-FR"/>
                        </w:rPr>
                        <w:t>Common delay drift rate </w:t>
                      </w:r>
                    </w:p>
                    <w:p w:rsidR="00995DF4" w:rsidRPr="00995DF4" w:rsidRDefault="00995DF4" w:rsidP="00995DF4">
                      <w:pPr>
                        <w:spacing w:after="0"/>
                        <w:ind w:left="1140" w:hanging="360"/>
                        <w:rPr>
                          <w:rFonts w:eastAsia="Calibri"/>
                          <w:b/>
                          <w:bCs/>
                          <w:sz w:val="20"/>
                          <w:lang w:val="en-US" w:eastAsia="fr-FR"/>
                        </w:rPr>
                      </w:pPr>
                      <w:r w:rsidRPr="00995DF4">
                        <w:rPr>
                          <w:rFonts w:ascii="Wingdings" w:eastAsia="Calibri" w:hAnsi="Wingdings"/>
                          <w:sz w:val="20"/>
                          <w:lang w:val="en-US" w:eastAsia="fr-FR"/>
                        </w:rPr>
                        <w:t></w:t>
                      </w:r>
                      <w:r w:rsidRPr="00995DF4">
                        <w:rPr>
                          <w:rFonts w:eastAsia="Calibri"/>
                          <w:sz w:val="20"/>
                          <w:lang w:val="en-US" w:eastAsia="fr-FR"/>
                        </w:rPr>
                        <w:t xml:space="preserve">  </w:t>
                      </w:r>
                      <w:r w:rsidRPr="00995DF4">
                        <w:rPr>
                          <w:rFonts w:eastAsia="Calibri"/>
                          <w:b/>
                          <w:bCs/>
                          <w:color w:val="FF0000"/>
                          <w:sz w:val="20"/>
                          <w:lang w:val="en-US" w:eastAsia="fr-FR"/>
                        </w:rPr>
                        <w:t>FFS:</w:t>
                      </w:r>
                      <w:r w:rsidRPr="00995DF4">
                        <w:rPr>
                          <w:rFonts w:eastAsia="Calibri"/>
                          <w:color w:val="FF0000"/>
                          <w:sz w:val="20"/>
                          <w:lang w:val="en-US" w:eastAsia="fr-FR"/>
                        </w:rPr>
                        <w:t xml:space="preserve">  </w:t>
                      </w:r>
                      <w:r w:rsidRPr="00995DF4">
                        <w:rPr>
                          <w:rFonts w:eastAsia="Calibri"/>
                          <w:b/>
                          <w:bCs/>
                          <w:color w:val="FF0000"/>
                          <w:sz w:val="20"/>
                          <w:lang w:val="en-US" w:eastAsia="fr-FR"/>
                        </w:rPr>
                        <w:t>High-</w:t>
                      </w:r>
                      <w:r w:rsidRPr="00995DF4">
                        <w:rPr>
                          <w:rFonts w:eastAsia="Calibri"/>
                          <w:b/>
                          <w:bCs/>
                          <w:sz w:val="20"/>
                          <w:lang w:val="en-US" w:eastAsia="fr-FR"/>
                        </w:rPr>
                        <w:t xml:space="preserve">order derivative of Common Delay drift </w:t>
                      </w:r>
                    </w:p>
                    <w:p w:rsidR="00995DF4" w:rsidRPr="00995DF4" w:rsidRDefault="00995DF4" w:rsidP="00995DF4">
                      <w:pPr>
                        <w:spacing w:after="0"/>
                        <w:ind w:left="1140" w:hanging="360"/>
                        <w:rPr>
                          <w:rFonts w:eastAsia="Calibri"/>
                          <w:b/>
                          <w:bCs/>
                          <w:color w:val="FF0000"/>
                          <w:sz w:val="20"/>
                          <w:lang w:val="en-US" w:eastAsia="fr-FR"/>
                        </w:rPr>
                      </w:pPr>
                      <w:r w:rsidRPr="00995DF4">
                        <w:rPr>
                          <w:rFonts w:ascii="Wingdings" w:eastAsia="Calibri" w:hAnsi="Wingdings"/>
                          <w:sz w:val="20"/>
                          <w:lang w:val="en-US" w:eastAsia="fr-FR"/>
                        </w:rPr>
                        <w:t></w:t>
                      </w:r>
                      <w:r w:rsidRPr="00995DF4">
                        <w:rPr>
                          <w:rFonts w:eastAsia="Calibri"/>
                          <w:sz w:val="20"/>
                          <w:lang w:val="en-US" w:eastAsia="fr-FR"/>
                        </w:rPr>
                        <w:t xml:space="preserve">  </w:t>
                      </w:r>
                      <w:r w:rsidRPr="00995DF4">
                        <w:rPr>
                          <w:rFonts w:eastAsia="Calibri"/>
                          <w:b/>
                          <w:bCs/>
                          <w:color w:val="FF0000"/>
                          <w:sz w:val="20"/>
                          <w:lang w:val="en-US" w:eastAsia="fr-FR"/>
                        </w:rPr>
                        <w:t>FFS: Series of Common TA parameter</w:t>
                      </w:r>
                    </w:p>
                    <w:p w:rsidR="00995DF4" w:rsidRPr="00995DF4" w:rsidRDefault="00995DF4" w:rsidP="00995DF4">
                      <w:pPr>
                        <w:spacing w:after="0"/>
                        <w:rPr>
                          <w:rFonts w:eastAsia="Calibri"/>
                          <w:b/>
                          <w:bCs/>
                          <w:sz w:val="20"/>
                          <w:lang w:val="en-US" w:eastAsia="fr-FR"/>
                        </w:rPr>
                      </w:pPr>
                    </w:p>
                    <w:p w:rsidR="00995DF4" w:rsidRPr="00995DF4" w:rsidRDefault="00995DF4" w:rsidP="00995DF4">
                      <w:pPr>
                        <w:spacing w:after="0"/>
                        <w:rPr>
                          <w:rFonts w:eastAsia="Calibri"/>
                          <w:b/>
                          <w:bCs/>
                          <w:color w:val="FF0000"/>
                          <w:sz w:val="20"/>
                          <w:lang w:val="en-US" w:eastAsia="fr-FR"/>
                        </w:rPr>
                      </w:pPr>
                      <w:r w:rsidRPr="00995DF4">
                        <w:rPr>
                          <w:rFonts w:eastAsia="Calibri"/>
                          <w:b/>
                          <w:bCs/>
                          <w:color w:val="FF0000"/>
                          <w:sz w:val="20"/>
                          <w:lang w:val="en-US" w:eastAsia="fr-FR"/>
                        </w:rPr>
                        <w:t>If feeder link timing drift is compensated by Network, the Network may periodically broadcast:</w:t>
                      </w:r>
                    </w:p>
                    <w:p w:rsidR="00995DF4" w:rsidRPr="00995DF4" w:rsidRDefault="00995DF4" w:rsidP="00995DF4">
                      <w:pPr>
                        <w:spacing w:after="0"/>
                        <w:ind w:left="1140" w:hanging="360"/>
                        <w:rPr>
                          <w:rFonts w:eastAsia="Calibri"/>
                          <w:b/>
                          <w:bCs/>
                          <w:sz w:val="20"/>
                          <w:lang w:val="en-US" w:eastAsia="fr-FR"/>
                        </w:rPr>
                      </w:pPr>
                      <w:r w:rsidRPr="00995DF4">
                        <w:rPr>
                          <w:rFonts w:ascii="Wingdings" w:eastAsia="Calibri" w:hAnsi="Wingdings"/>
                          <w:sz w:val="20"/>
                          <w:lang w:val="en-US" w:eastAsia="fr-FR"/>
                        </w:rPr>
                        <w:t></w:t>
                      </w:r>
                      <w:r w:rsidRPr="00995DF4">
                        <w:rPr>
                          <w:rFonts w:eastAsia="Calibri"/>
                          <w:sz w:val="20"/>
                          <w:lang w:val="en-US" w:eastAsia="fr-FR"/>
                        </w:rPr>
                        <w:t xml:space="preserve">  </w:t>
                      </w:r>
                      <w:r w:rsidRPr="00995DF4">
                        <w:rPr>
                          <w:rFonts w:eastAsia="Calibri"/>
                          <w:b/>
                          <w:bCs/>
                          <w:sz w:val="20"/>
                          <w:lang w:val="en-US" w:eastAsia="fr-FR"/>
                        </w:rPr>
                        <w:t>Common delay</w:t>
                      </w:r>
                    </w:p>
                    <w:p w:rsidR="00995DF4" w:rsidRPr="00995DF4" w:rsidRDefault="00995DF4" w:rsidP="00995DF4">
                      <w:pPr>
                        <w:spacing w:after="0"/>
                        <w:ind w:left="1140" w:hanging="360"/>
                        <w:rPr>
                          <w:rFonts w:eastAsia="Calibri"/>
                          <w:b/>
                          <w:bCs/>
                          <w:sz w:val="20"/>
                          <w:lang w:val="en-US" w:eastAsia="fr-FR"/>
                        </w:rPr>
                      </w:pPr>
                    </w:p>
                    <w:p w:rsidR="00995DF4" w:rsidRPr="00995DF4" w:rsidRDefault="00995DF4" w:rsidP="00995DF4">
                      <w:pPr>
                        <w:spacing w:after="0"/>
                        <w:rPr>
                          <w:rFonts w:eastAsia="Calibri"/>
                          <w:b/>
                          <w:bCs/>
                          <w:sz w:val="20"/>
                          <w:lang w:val="en-US" w:eastAsia="fr-FR"/>
                        </w:rPr>
                      </w:pPr>
                      <w:r w:rsidRPr="00995DF4">
                        <w:rPr>
                          <w:rFonts w:eastAsia="Calibri"/>
                          <w:b/>
                          <w:bCs/>
                          <w:sz w:val="20"/>
                          <w:lang w:val="en-US" w:eastAsia="fr-FR"/>
                        </w:rPr>
                        <w:t>In case of network not indicating these parameters, common delay and common delay drift rate are equal to zero by default.</w:t>
                      </w:r>
                    </w:p>
                    <w:p w:rsidR="00995DF4" w:rsidRPr="00995DF4" w:rsidRDefault="00995DF4" w:rsidP="00995DF4">
                      <w:pPr>
                        <w:rPr>
                          <w:sz w:val="20"/>
                          <w:lang w:val="en-US"/>
                        </w:rPr>
                      </w:pPr>
                    </w:p>
                    <w:p w:rsidR="00995DF4" w:rsidRPr="00995DF4" w:rsidRDefault="00995DF4" w:rsidP="00995DF4">
                      <w:pPr>
                        <w:rPr>
                          <w:sz w:val="20"/>
                          <w:lang w:val="en-US"/>
                        </w:rPr>
                      </w:pPr>
                      <w:r w:rsidRPr="00995DF4">
                        <w:rPr>
                          <w:sz w:val="20"/>
                          <w:lang w:val="en-US"/>
                        </w:rPr>
                        <w:t>The proposal was discussed in GTW session held on May 27</w:t>
                      </w:r>
                      <w:r w:rsidRPr="00995DF4">
                        <w:rPr>
                          <w:sz w:val="20"/>
                          <w:vertAlign w:val="superscript"/>
                          <w:lang w:val="en-US"/>
                        </w:rPr>
                        <w:t>th</w:t>
                      </w:r>
                      <w:r w:rsidRPr="00995DF4">
                        <w:rPr>
                          <w:sz w:val="20"/>
                          <w:lang w:val="en-US"/>
                        </w:rPr>
                        <w:t xml:space="preserve"> but it was not acceptable to everyone. There was mainly an objection from one company that needs more time to make sure having feeder link timing drift compensated by UE using Common TA parameters is feasible </w:t>
                      </w:r>
                      <w:r w:rsidRPr="00995DF4">
                        <w:rPr>
                          <w:b/>
                          <w:sz w:val="20"/>
                          <w:lang w:val="en-US"/>
                        </w:rPr>
                        <w:t>especially for FR2</w:t>
                      </w:r>
                      <w:r w:rsidRPr="00995DF4">
                        <w:rPr>
                          <w:sz w:val="20"/>
                          <w:lang w:val="en-US"/>
                        </w:rPr>
                        <w:t>.</w:t>
                      </w:r>
                    </w:p>
                    <w:p w:rsidR="00995DF4" w:rsidRPr="00995DF4" w:rsidRDefault="00995DF4" w:rsidP="00995DF4">
                      <w:pPr>
                        <w:rPr>
                          <w:b/>
                          <w:sz w:val="20"/>
                          <w:highlight w:val="cyan"/>
                          <w:lang w:val="en-US"/>
                        </w:rPr>
                      </w:pPr>
                      <w:r w:rsidRPr="00995DF4">
                        <w:rPr>
                          <w:b/>
                          <w:sz w:val="20"/>
                          <w:highlight w:val="cyan"/>
                          <w:lang w:val="en-US"/>
                        </w:rPr>
                        <w:t>FL Recommendation 2:</w:t>
                      </w:r>
                    </w:p>
                    <w:p w:rsidR="00995DF4" w:rsidRPr="00995DF4" w:rsidRDefault="00995DF4" w:rsidP="00995DF4">
                      <w:pPr>
                        <w:rPr>
                          <w:b/>
                          <w:sz w:val="20"/>
                          <w:lang w:val="en-US"/>
                        </w:rPr>
                      </w:pPr>
                      <w:r w:rsidRPr="00995DF4">
                        <w:rPr>
                          <w:b/>
                          <w:sz w:val="20"/>
                          <w:lang w:val="en-US"/>
                        </w:rPr>
                        <w:t>On the feasibility of feeder link time drift handling by the UE  companies are:</w:t>
                      </w:r>
                    </w:p>
                    <w:p w:rsidR="00995DF4" w:rsidRPr="00995DF4" w:rsidRDefault="00995DF4" w:rsidP="00995DF4">
                      <w:pPr>
                        <w:pStyle w:val="ListParagraph"/>
                        <w:numPr>
                          <w:ilvl w:val="0"/>
                          <w:numId w:val="33"/>
                        </w:numPr>
                        <w:spacing w:after="180" w:line="240" w:lineRule="auto"/>
                        <w:contextualSpacing w:val="0"/>
                        <w:rPr>
                          <w:b/>
                          <w:sz w:val="20"/>
                          <w:szCs w:val="20"/>
                        </w:rPr>
                      </w:pPr>
                      <w:r w:rsidRPr="00995DF4">
                        <w:rPr>
                          <w:b/>
                          <w:sz w:val="20"/>
                          <w:szCs w:val="20"/>
                        </w:rPr>
                        <w:t xml:space="preserve">Highly encouraged to carry out simulations and provide numbers in RAN1#106-e by taking into account the different error budgets : errors due to satellite ephemeris accuracy (maximum errors on satellite position as known by </w:t>
                      </w:r>
                      <w:proofErr w:type="spellStart"/>
                      <w:r w:rsidRPr="00995DF4">
                        <w:rPr>
                          <w:b/>
                          <w:sz w:val="20"/>
                          <w:szCs w:val="20"/>
                        </w:rPr>
                        <w:t>gNB</w:t>
                      </w:r>
                      <w:proofErr w:type="spellEnd"/>
                      <w:r w:rsidRPr="00995DF4">
                        <w:rPr>
                          <w:b/>
                          <w:sz w:val="20"/>
                          <w:szCs w:val="20"/>
                        </w:rPr>
                        <w:t xml:space="preserve">) errors due quantization of common TA parameters, error due ageing of Common TA parameters when indicated to the UE. </w:t>
                      </w:r>
                    </w:p>
                    <w:p w:rsidR="00995DF4" w:rsidRPr="00995DF4" w:rsidRDefault="00995DF4" w:rsidP="00995DF4">
                      <w:pPr>
                        <w:pStyle w:val="ListParagraph"/>
                        <w:numPr>
                          <w:ilvl w:val="0"/>
                          <w:numId w:val="33"/>
                        </w:numPr>
                        <w:spacing w:after="180" w:line="240" w:lineRule="auto"/>
                        <w:contextualSpacing w:val="0"/>
                        <w:rPr>
                          <w:b/>
                          <w:sz w:val="20"/>
                          <w:szCs w:val="20"/>
                        </w:rPr>
                      </w:pPr>
                      <w:r w:rsidRPr="00995DF4">
                        <w:rPr>
                          <w:b/>
                          <w:sz w:val="20"/>
                          <w:szCs w:val="20"/>
                        </w:rPr>
                        <w:t>Encouraged to provide more inputs on the suitable Common TA parameters that need to be indicated by the Network if feeder link timing drift is to be compensated by UE using common TA parameters.</w:t>
                      </w:r>
                    </w:p>
                    <w:p w:rsidR="00A43DA0" w:rsidRPr="00995DF4" w:rsidRDefault="00A43DA0" w:rsidP="00262497">
                      <w:pPr>
                        <w:spacing w:after="0"/>
                        <w:rPr>
                          <w:rFonts w:asciiTheme="minorBidi" w:hAnsiTheme="minorBidi" w:cstheme="minorBidi"/>
                          <w:sz w:val="16"/>
                          <w:szCs w:val="16"/>
                          <w:lang w:val="en-US" w:eastAsia="x-none"/>
                        </w:rPr>
                      </w:pPr>
                    </w:p>
                  </w:txbxContent>
                </v:textbox>
                <w10:anchorlock/>
              </v:shape>
            </w:pict>
          </mc:Fallback>
        </mc:AlternateContent>
      </w:r>
    </w:p>
    <w:p w:rsidR="00EE1C25" w:rsidRDefault="00EE1C25"/>
    <w:p w:rsidR="00361B7F" w:rsidRDefault="00EE1C25">
      <w:r>
        <w:t xml:space="preserve">The main focus of this contribution is related to </w:t>
      </w:r>
      <w:r w:rsidR="00995DF4">
        <w:t xml:space="preserve">provide simulation results for </w:t>
      </w:r>
      <w:r>
        <w:t xml:space="preserve">the signaling of the common TA in NTN, i.e., </w:t>
      </w:r>
      <w:r w:rsidRPr="00C30BA4">
        <w:t> </w:t>
      </w:r>
      <m:oMath>
        <m:sSub>
          <m:sSubPr>
            <m:ctrlPr>
              <w:rPr>
                <w:rFonts w:ascii="Cambria Math" w:hAnsi="Cambria Math"/>
                <w:iCs/>
                <w:lang w:val="fr-FR"/>
              </w:rPr>
            </m:ctrlPr>
          </m:sSubPr>
          <m:e>
            <m:r>
              <m:rPr>
                <m:sty m:val="p"/>
              </m:rPr>
              <w:rPr>
                <w:rFonts w:ascii="Cambria Math" w:eastAsia="Calibri" w:hAnsi="Cambria Math"/>
              </w:rPr>
              <m:t>N</m:t>
            </m:r>
          </m:e>
          <m:sub>
            <m:r>
              <m:rPr>
                <m:sty m:val="p"/>
              </m:rPr>
              <w:rPr>
                <w:rFonts w:ascii="Cambria Math" w:eastAsia="Calibri" w:hAnsi="Cambria Math"/>
              </w:rPr>
              <m:t>TA,common</m:t>
            </m:r>
          </m:sub>
        </m:sSub>
      </m:oMath>
      <w:r w:rsidRPr="00A43DA0">
        <w:rPr>
          <w:iCs/>
          <w:lang w:val="fr-FR"/>
        </w:rPr>
        <w:t>.</w:t>
      </w:r>
    </w:p>
    <w:p w:rsidR="00995DF4" w:rsidRDefault="00361B7F" w:rsidP="00361B7F">
      <w:pPr>
        <w:pStyle w:val="Heading1"/>
      </w:pPr>
      <w:r>
        <w:lastRenderedPageBreak/>
        <w:t>Discussion</w:t>
      </w:r>
    </w:p>
    <w:p w:rsidR="008D2A37" w:rsidRDefault="003A6A6A" w:rsidP="00995DF4">
      <w:r>
        <w:t>In the following, we provide simulation results based on FL recommendation for the signaling of common TA in NTN</w:t>
      </w:r>
      <w:r w:rsidR="008D2A37">
        <w:t>. For all simulation results, we considered maximum elevation angle of 90 and minimum elevation angle of 10 degrees. Two sample scenarios are considered for SIB update rate, i.e., 5 second and 28 second. The simulation results summary are provided in the following tables.</w:t>
      </w:r>
      <w:r w:rsidR="005502F3">
        <w:t xml:space="preserve"> Every entry in the table shows the maximum estimation error. </w:t>
      </w:r>
    </w:p>
    <w:p w:rsidR="008D2A37" w:rsidRDefault="008D2A37" w:rsidP="00995DF4"/>
    <w:tbl>
      <w:tblPr>
        <w:tblStyle w:val="TableGrid"/>
        <w:tblW w:w="0" w:type="auto"/>
        <w:tblInd w:w="-95" w:type="dxa"/>
        <w:tblLook w:val="04A0" w:firstRow="1" w:lastRow="0" w:firstColumn="1" w:lastColumn="0" w:noHBand="0" w:noVBand="1"/>
      </w:tblPr>
      <w:tblGrid>
        <w:gridCol w:w="2360"/>
        <w:gridCol w:w="2265"/>
        <w:gridCol w:w="2266"/>
        <w:gridCol w:w="2266"/>
      </w:tblGrid>
      <w:tr w:rsidR="005502F3" w:rsidTr="005502F3">
        <w:tc>
          <w:tcPr>
            <w:tcW w:w="2360" w:type="dxa"/>
          </w:tcPr>
          <w:p w:rsidR="005502F3" w:rsidRDefault="005502F3" w:rsidP="00995DF4">
            <w:r>
              <w:t>Scenario / SIB update</w:t>
            </w:r>
          </w:p>
        </w:tc>
        <w:tc>
          <w:tcPr>
            <w:tcW w:w="2265" w:type="dxa"/>
          </w:tcPr>
          <w:p w:rsidR="005502F3" w:rsidRDefault="005502F3" w:rsidP="00995DF4">
            <w:r>
              <w:t xml:space="preserve">Delay drift rate </w:t>
            </w:r>
          </w:p>
        </w:tc>
        <w:tc>
          <w:tcPr>
            <w:tcW w:w="2266" w:type="dxa"/>
          </w:tcPr>
          <w:p w:rsidR="005502F3" w:rsidRDefault="005502F3" w:rsidP="00995DF4">
            <w:r>
              <w:t>2</w:t>
            </w:r>
            <w:r w:rsidRPr="005502F3">
              <w:rPr>
                <w:vertAlign w:val="superscript"/>
              </w:rPr>
              <w:t>nd</w:t>
            </w:r>
            <w:r>
              <w:t xml:space="preserve"> order drift rate</w:t>
            </w:r>
          </w:p>
        </w:tc>
        <w:tc>
          <w:tcPr>
            <w:tcW w:w="2266" w:type="dxa"/>
          </w:tcPr>
          <w:p w:rsidR="005502F3" w:rsidRDefault="005502F3" w:rsidP="00995DF4">
            <w:r>
              <w:t>3</w:t>
            </w:r>
            <w:r w:rsidRPr="005502F3">
              <w:rPr>
                <w:vertAlign w:val="superscript"/>
              </w:rPr>
              <w:t>rd</w:t>
            </w:r>
            <w:r>
              <w:t xml:space="preserve"> order drift rate</w:t>
            </w:r>
          </w:p>
        </w:tc>
      </w:tr>
      <w:tr w:rsidR="005502F3" w:rsidTr="005502F3">
        <w:tc>
          <w:tcPr>
            <w:tcW w:w="2360" w:type="dxa"/>
          </w:tcPr>
          <w:p w:rsidR="005502F3" w:rsidRDefault="005502F3" w:rsidP="00995DF4">
            <w:r>
              <w:t xml:space="preserve">LEO 600 / 5 [s] </w:t>
            </w:r>
          </w:p>
        </w:tc>
        <w:tc>
          <w:tcPr>
            <w:tcW w:w="2265" w:type="dxa"/>
          </w:tcPr>
          <w:p w:rsidR="005502F3" w:rsidRDefault="008D58EF" w:rsidP="00995DF4">
            <m:oMath>
              <m:r>
                <w:rPr>
                  <w:rFonts w:ascii="Cambria Math" w:hAnsi="Cambria Math"/>
                </w:rPr>
                <m:t>1.0527</m:t>
              </m:r>
            </m:oMath>
            <w:r>
              <w:t xml:space="preserve"> [</w:t>
            </w:r>
            <w:r>
              <w:rPr>
                <w:rFonts w:cs="Arial"/>
              </w:rPr>
              <w:t>µ</w:t>
            </w:r>
            <w:r>
              <w:t>s]</w:t>
            </w:r>
          </w:p>
        </w:tc>
        <w:tc>
          <w:tcPr>
            <w:tcW w:w="2266" w:type="dxa"/>
          </w:tcPr>
          <w:p w:rsidR="005502F3" w:rsidRDefault="008D58EF" w:rsidP="00995DF4">
            <m:oMath>
              <m:r>
                <w:rPr>
                  <w:rFonts w:ascii="Cambria Math" w:hAnsi="Cambria Math"/>
                </w:rPr>
                <m:t>0.0051</m:t>
              </m:r>
            </m:oMath>
            <w:r>
              <w:t xml:space="preserve"> [</w:t>
            </w:r>
            <w:r>
              <w:rPr>
                <w:rFonts w:cs="Arial"/>
              </w:rPr>
              <w:t>µ</w:t>
            </w:r>
            <w:r>
              <w:t>s]</w:t>
            </w:r>
          </w:p>
        </w:tc>
        <w:tc>
          <w:tcPr>
            <w:tcW w:w="2266" w:type="dxa"/>
          </w:tcPr>
          <w:p w:rsidR="005502F3" w:rsidRDefault="008D58EF" w:rsidP="008D58EF">
            <m:oMath>
              <m:r>
                <w:rPr>
                  <w:rFonts w:ascii="Cambria Math" w:hAnsi="Cambria Math"/>
                </w:rPr>
                <m:t>7.1149×</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 xml:space="preserve"> </m:t>
              </m:r>
            </m:oMath>
            <w:r>
              <w:t>[</w:t>
            </w:r>
            <w:r>
              <w:rPr>
                <w:rFonts w:cs="Arial"/>
              </w:rPr>
              <w:t>µ</w:t>
            </w:r>
            <w:r>
              <w:t>s]</w:t>
            </w:r>
          </w:p>
        </w:tc>
      </w:tr>
      <w:tr w:rsidR="005502F3" w:rsidTr="005502F3">
        <w:tc>
          <w:tcPr>
            <w:tcW w:w="2360" w:type="dxa"/>
          </w:tcPr>
          <w:p w:rsidR="005502F3" w:rsidRDefault="005502F3" w:rsidP="00995DF4">
            <w:r>
              <w:t>LEO 1200 / 5 [s]</w:t>
            </w:r>
          </w:p>
        </w:tc>
        <w:tc>
          <w:tcPr>
            <w:tcW w:w="2265" w:type="dxa"/>
          </w:tcPr>
          <w:p w:rsidR="005502F3" w:rsidRDefault="008D58EF" w:rsidP="008D58EF">
            <m:oMath>
              <m:r>
                <w:rPr>
                  <w:rFonts w:ascii="Cambria Math" w:hAnsi="Cambria Math"/>
                </w:rPr>
                <m:t xml:space="preserve">0.4381 </m:t>
              </m:r>
            </m:oMath>
            <w:r>
              <w:t>[</w:t>
            </w:r>
            <w:r>
              <w:rPr>
                <w:rFonts w:cs="Arial"/>
              </w:rPr>
              <w:t>µ</w:t>
            </w:r>
            <w:r>
              <w:t>s]</w:t>
            </w:r>
          </w:p>
        </w:tc>
        <w:tc>
          <w:tcPr>
            <w:tcW w:w="2266" w:type="dxa"/>
          </w:tcPr>
          <w:p w:rsidR="005502F3" w:rsidRDefault="00784001" w:rsidP="00784001">
            <m:oMath>
              <m:r>
                <w:rPr>
                  <w:rFonts w:ascii="Cambria Math" w:hAnsi="Cambria Math"/>
                </w:rPr>
                <m:t>9.742×</m:t>
              </m:r>
              <m:sSup>
                <m:sSupPr>
                  <m:ctrlPr>
                    <w:rPr>
                      <w:rFonts w:ascii="Cambria Math" w:hAnsi="Cambria Math"/>
                      <w:i/>
                    </w:rPr>
                  </m:ctrlPr>
                </m:sSupPr>
                <m:e>
                  <m:r>
                    <w:rPr>
                      <w:rFonts w:ascii="Cambria Math" w:hAnsi="Cambria Math"/>
                    </w:rPr>
                    <m:t>10</m:t>
                  </m:r>
                </m:e>
                <m:sup>
                  <m:r>
                    <w:rPr>
                      <w:rFonts w:ascii="Cambria Math" w:hAnsi="Cambria Math"/>
                    </w:rPr>
                    <m:t>-4</m:t>
                  </m:r>
                </m:sup>
              </m:sSup>
            </m:oMath>
            <w:r>
              <w:t xml:space="preserve"> [</w:t>
            </w:r>
            <w:r>
              <w:rPr>
                <w:rFonts w:cs="Arial"/>
              </w:rPr>
              <w:t>µ</w:t>
            </w:r>
            <w:r>
              <w:t>s]</w:t>
            </w:r>
          </w:p>
        </w:tc>
        <w:tc>
          <w:tcPr>
            <w:tcW w:w="2266" w:type="dxa"/>
          </w:tcPr>
          <w:p w:rsidR="005502F3" w:rsidRDefault="00784001" w:rsidP="00784001">
            <m:oMath>
              <m:r>
                <w:rPr>
                  <w:rFonts w:ascii="Cambria Math" w:hAnsi="Cambria Math"/>
                </w:rPr>
                <m:t>7.3032×</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t>
            </w:r>
            <w:r>
              <w:rPr>
                <w:rFonts w:cs="Arial"/>
              </w:rPr>
              <w:t>µ</w:t>
            </w:r>
            <w:r>
              <w:t>s]</w:t>
            </w:r>
          </w:p>
        </w:tc>
      </w:tr>
    </w:tbl>
    <w:p w:rsidR="008D2A37" w:rsidRDefault="008D2A37" w:rsidP="00995DF4">
      <w:r>
        <w:t xml:space="preserve"> </w:t>
      </w:r>
    </w:p>
    <w:tbl>
      <w:tblPr>
        <w:tblStyle w:val="TableGrid"/>
        <w:tblW w:w="0" w:type="auto"/>
        <w:tblInd w:w="-95" w:type="dxa"/>
        <w:tblLook w:val="04A0" w:firstRow="1" w:lastRow="0" w:firstColumn="1" w:lastColumn="0" w:noHBand="0" w:noVBand="1"/>
      </w:tblPr>
      <w:tblGrid>
        <w:gridCol w:w="2360"/>
        <w:gridCol w:w="2265"/>
        <w:gridCol w:w="2266"/>
        <w:gridCol w:w="2266"/>
      </w:tblGrid>
      <w:tr w:rsidR="00784001" w:rsidTr="00E6760B">
        <w:tc>
          <w:tcPr>
            <w:tcW w:w="2360" w:type="dxa"/>
          </w:tcPr>
          <w:p w:rsidR="00784001" w:rsidRDefault="00784001" w:rsidP="00E6760B">
            <w:r>
              <w:t>Scenario / SIB update</w:t>
            </w:r>
          </w:p>
        </w:tc>
        <w:tc>
          <w:tcPr>
            <w:tcW w:w="2265" w:type="dxa"/>
          </w:tcPr>
          <w:p w:rsidR="00784001" w:rsidRDefault="00784001" w:rsidP="00E6760B">
            <w:r>
              <w:t xml:space="preserve">Delay drift rate </w:t>
            </w:r>
          </w:p>
        </w:tc>
        <w:tc>
          <w:tcPr>
            <w:tcW w:w="2266" w:type="dxa"/>
          </w:tcPr>
          <w:p w:rsidR="00784001" w:rsidRDefault="00784001" w:rsidP="00E6760B">
            <w:r>
              <w:t>2</w:t>
            </w:r>
            <w:r w:rsidRPr="005502F3">
              <w:rPr>
                <w:vertAlign w:val="superscript"/>
              </w:rPr>
              <w:t>nd</w:t>
            </w:r>
            <w:r>
              <w:t xml:space="preserve"> order drift rate</w:t>
            </w:r>
          </w:p>
        </w:tc>
        <w:tc>
          <w:tcPr>
            <w:tcW w:w="2266" w:type="dxa"/>
          </w:tcPr>
          <w:p w:rsidR="00784001" w:rsidRDefault="00784001" w:rsidP="00E6760B">
            <w:r>
              <w:t>3</w:t>
            </w:r>
            <w:r w:rsidRPr="005502F3">
              <w:rPr>
                <w:vertAlign w:val="superscript"/>
              </w:rPr>
              <w:t>rd</w:t>
            </w:r>
            <w:r>
              <w:t xml:space="preserve"> order drift rate</w:t>
            </w:r>
          </w:p>
        </w:tc>
      </w:tr>
      <w:tr w:rsidR="00784001" w:rsidTr="00E6760B">
        <w:tc>
          <w:tcPr>
            <w:tcW w:w="2360" w:type="dxa"/>
          </w:tcPr>
          <w:p w:rsidR="00784001" w:rsidRDefault="00784001" w:rsidP="00E6760B">
            <w:r>
              <w:t xml:space="preserve">LEO 600 / 28 [s] </w:t>
            </w:r>
          </w:p>
        </w:tc>
        <w:tc>
          <w:tcPr>
            <w:tcW w:w="2265" w:type="dxa"/>
          </w:tcPr>
          <w:p w:rsidR="00784001" w:rsidRDefault="0073560B" w:rsidP="00E6760B">
            <m:oMath>
              <m:r>
                <w:rPr>
                  <w:rFonts w:ascii="Cambria Math" w:hAnsi="Cambria Math"/>
                </w:rPr>
                <m:t>32.0996</m:t>
              </m:r>
            </m:oMath>
            <w:r w:rsidR="00784001">
              <w:t xml:space="preserve"> [</w:t>
            </w:r>
            <w:r w:rsidR="00784001">
              <w:rPr>
                <w:rFonts w:cs="Arial"/>
              </w:rPr>
              <w:t>µ</w:t>
            </w:r>
            <w:r w:rsidR="00784001">
              <w:t>s]</w:t>
            </w:r>
          </w:p>
        </w:tc>
        <w:tc>
          <w:tcPr>
            <w:tcW w:w="2266" w:type="dxa"/>
          </w:tcPr>
          <w:p w:rsidR="00784001" w:rsidRDefault="00784001" w:rsidP="0073560B">
            <m:oMath>
              <m:r>
                <w:rPr>
                  <w:rFonts w:ascii="Cambria Math" w:hAnsi="Cambria Math"/>
                </w:rPr>
                <m:t>0.8865</m:t>
              </m:r>
            </m:oMath>
            <w:r>
              <w:t xml:space="preserve"> [</w:t>
            </w:r>
            <w:r>
              <w:rPr>
                <w:rFonts w:cs="Arial"/>
              </w:rPr>
              <w:t>µ</w:t>
            </w:r>
            <w:r>
              <w:t>s]</w:t>
            </w:r>
          </w:p>
        </w:tc>
        <w:tc>
          <w:tcPr>
            <w:tcW w:w="2266" w:type="dxa"/>
          </w:tcPr>
          <w:p w:rsidR="00784001" w:rsidRDefault="0073560B" w:rsidP="0073560B">
            <m:oMath>
              <m:r>
                <w:rPr>
                  <w:rFonts w:ascii="Cambria Math" w:hAnsi="Cambria Math"/>
                </w:rPr>
                <m:t xml:space="preserve">0.0597 </m:t>
              </m:r>
            </m:oMath>
            <w:r w:rsidR="00784001">
              <w:t>[</w:t>
            </w:r>
            <w:r w:rsidR="00784001">
              <w:rPr>
                <w:rFonts w:cs="Arial"/>
              </w:rPr>
              <w:t>µ</w:t>
            </w:r>
            <w:r w:rsidR="00784001">
              <w:t>s]</w:t>
            </w:r>
          </w:p>
        </w:tc>
      </w:tr>
      <w:tr w:rsidR="00784001" w:rsidTr="00E6760B">
        <w:tc>
          <w:tcPr>
            <w:tcW w:w="2360" w:type="dxa"/>
          </w:tcPr>
          <w:p w:rsidR="00784001" w:rsidRDefault="00784001" w:rsidP="00E6760B">
            <w:r>
              <w:t>LEO 1200 / 28 [s]</w:t>
            </w:r>
          </w:p>
        </w:tc>
        <w:tc>
          <w:tcPr>
            <w:tcW w:w="2265" w:type="dxa"/>
          </w:tcPr>
          <w:p w:rsidR="00784001" w:rsidRDefault="0073560B" w:rsidP="00E6760B">
            <m:oMath>
              <m:r>
                <w:rPr>
                  <w:rFonts w:ascii="Cambria Math" w:hAnsi="Cambria Math"/>
                </w:rPr>
                <m:t xml:space="preserve">13.6574 </m:t>
              </m:r>
            </m:oMath>
            <w:r w:rsidR="00784001">
              <w:t>[</w:t>
            </w:r>
            <w:r w:rsidR="00784001">
              <w:rPr>
                <w:rFonts w:cs="Arial"/>
              </w:rPr>
              <w:t>µ</w:t>
            </w:r>
            <w:r w:rsidR="00784001">
              <w:t>s]</w:t>
            </w:r>
          </w:p>
        </w:tc>
        <w:tc>
          <w:tcPr>
            <w:tcW w:w="2266" w:type="dxa"/>
          </w:tcPr>
          <w:p w:rsidR="00784001" w:rsidRDefault="0073560B" w:rsidP="0073560B">
            <m:oMath>
              <m:r>
                <w:rPr>
                  <w:rFonts w:ascii="Cambria Math" w:hAnsi="Cambria Math"/>
                </w:rPr>
                <m:t>0.1707</m:t>
              </m:r>
            </m:oMath>
            <w:r w:rsidR="00784001">
              <w:t xml:space="preserve"> [</w:t>
            </w:r>
            <w:r w:rsidR="00784001">
              <w:rPr>
                <w:rFonts w:cs="Arial"/>
              </w:rPr>
              <w:t>µ</w:t>
            </w:r>
            <w:r w:rsidR="00784001">
              <w:t>s]</w:t>
            </w:r>
          </w:p>
        </w:tc>
        <w:tc>
          <w:tcPr>
            <w:tcW w:w="2266" w:type="dxa"/>
          </w:tcPr>
          <w:p w:rsidR="00784001" w:rsidRDefault="0073560B" w:rsidP="0073560B">
            <m:oMath>
              <m:r>
                <w:rPr>
                  <w:rFonts w:ascii="Cambria Math" w:hAnsi="Cambria Math"/>
                </w:rPr>
                <m:t>0.0059</m:t>
              </m:r>
            </m:oMath>
            <w:r w:rsidR="00784001">
              <w:t xml:space="preserve">  [</w:t>
            </w:r>
            <w:r w:rsidR="00784001">
              <w:rPr>
                <w:rFonts w:cs="Arial"/>
              </w:rPr>
              <w:t>µ</w:t>
            </w:r>
            <w:r w:rsidR="00784001">
              <w:t>s]</w:t>
            </w:r>
          </w:p>
        </w:tc>
      </w:tr>
    </w:tbl>
    <w:p w:rsidR="00784001" w:rsidRDefault="00784001" w:rsidP="00995DF4"/>
    <w:p w:rsidR="0073560B" w:rsidRPr="0073560B" w:rsidRDefault="0073560B" w:rsidP="00995DF4">
      <w:pPr>
        <w:rPr>
          <w:b/>
          <w:bCs/>
        </w:rPr>
      </w:pPr>
      <w:r>
        <w:rPr>
          <w:b/>
          <w:bCs/>
        </w:rPr>
        <w:t>Observation 1: Signaling the 2</w:t>
      </w:r>
      <w:r w:rsidRPr="0073560B">
        <w:rPr>
          <w:b/>
          <w:bCs/>
          <w:vertAlign w:val="superscript"/>
        </w:rPr>
        <w:t>nd</w:t>
      </w:r>
      <w:r>
        <w:rPr>
          <w:b/>
          <w:bCs/>
        </w:rPr>
        <w:t xml:space="preserve"> and 3</w:t>
      </w:r>
      <w:r w:rsidRPr="0073560B">
        <w:rPr>
          <w:b/>
          <w:bCs/>
          <w:vertAlign w:val="superscript"/>
        </w:rPr>
        <w:t>rd</w:t>
      </w:r>
      <w:r>
        <w:rPr>
          <w:b/>
          <w:bCs/>
        </w:rPr>
        <w:t xml:space="preserve"> order drift rate parameters improve the common TA estimation at the UE side substantially.</w:t>
      </w:r>
    </w:p>
    <w:p w:rsidR="00361B7F" w:rsidRPr="0073560B" w:rsidRDefault="00361B7F" w:rsidP="00B710D2">
      <w:pPr>
        <w:rPr>
          <w:b/>
          <w:bCs/>
        </w:rPr>
      </w:pPr>
      <w:r>
        <w:t xml:space="preserve"> </w:t>
      </w:r>
      <w:r w:rsidR="0073560B">
        <w:rPr>
          <w:b/>
          <w:bCs/>
        </w:rPr>
        <w:t>Proposal 1: RAN1 to consider the signaling of higher order drift rate parameters</w:t>
      </w:r>
      <w:r w:rsidR="00B710D2">
        <w:rPr>
          <w:b/>
          <w:bCs/>
        </w:rPr>
        <w:t xml:space="preserve"> by the network</w:t>
      </w:r>
      <w:r w:rsidR="0073560B">
        <w:rPr>
          <w:b/>
          <w:bCs/>
        </w:rPr>
        <w:t xml:space="preserve"> for </w:t>
      </w:r>
      <w:r w:rsidR="00B710D2">
        <w:rPr>
          <w:b/>
          <w:bCs/>
        </w:rPr>
        <w:t xml:space="preserve">compensation of the feeder link delay drift at the UE side.  </w:t>
      </w:r>
    </w:p>
    <w:p w:rsidR="00E14232" w:rsidRDefault="00E14232" w:rsidP="00E14232">
      <w:pPr>
        <w:pStyle w:val="Heading1"/>
        <w:rPr>
          <w:lang w:val="en-US"/>
        </w:rPr>
      </w:pPr>
      <w:r>
        <w:rPr>
          <w:lang w:val="en-US"/>
        </w:rPr>
        <w:t xml:space="preserve">Conclusions </w:t>
      </w:r>
    </w:p>
    <w:p w:rsidR="00B710D2" w:rsidRPr="0073560B" w:rsidRDefault="00B710D2" w:rsidP="00B710D2">
      <w:pPr>
        <w:rPr>
          <w:b/>
          <w:bCs/>
        </w:rPr>
      </w:pPr>
      <w:r>
        <w:rPr>
          <w:b/>
          <w:bCs/>
        </w:rPr>
        <w:t>Observation 1: Signaling the 2</w:t>
      </w:r>
      <w:r w:rsidRPr="0073560B">
        <w:rPr>
          <w:b/>
          <w:bCs/>
          <w:vertAlign w:val="superscript"/>
        </w:rPr>
        <w:t>nd</w:t>
      </w:r>
      <w:r>
        <w:rPr>
          <w:b/>
          <w:bCs/>
        </w:rPr>
        <w:t xml:space="preserve"> and 3</w:t>
      </w:r>
      <w:r w:rsidRPr="0073560B">
        <w:rPr>
          <w:b/>
          <w:bCs/>
          <w:vertAlign w:val="superscript"/>
        </w:rPr>
        <w:t>rd</w:t>
      </w:r>
      <w:r>
        <w:rPr>
          <w:b/>
          <w:bCs/>
        </w:rPr>
        <w:t xml:space="preserve"> order drift rate parameters improve the common TA estimation at the UE side substantially.</w:t>
      </w:r>
    </w:p>
    <w:p w:rsidR="00B710D2" w:rsidRPr="00B710D2" w:rsidRDefault="00B710D2" w:rsidP="00B710D2">
      <w:pPr>
        <w:rPr>
          <w:b/>
          <w:bCs/>
        </w:rPr>
      </w:pPr>
      <w:r>
        <w:t xml:space="preserve"> </w:t>
      </w:r>
      <w:r>
        <w:rPr>
          <w:b/>
          <w:bCs/>
        </w:rPr>
        <w:t xml:space="preserve">Proposal 1: RAN1 to consider the signaling of higher order drift rate parameters by the network for compensation of the feeder link delay drift at the UE side.  </w:t>
      </w:r>
    </w:p>
    <w:p w:rsidR="003F0798" w:rsidRDefault="003F0798" w:rsidP="003F0798">
      <w:pPr>
        <w:pStyle w:val="Heading1"/>
      </w:pPr>
      <w:r>
        <w:t xml:space="preserve">References </w:t>
      </w:r>
    </w:p>
    <w:p w:rsidR="00966F7E" w:rsidRPr="00966F7E" w:rsidRDefault="00966F7E" w:rsidP="00966F7E">
      <w:pPr>
        <w:rPr>
          <w:sz w:val="24"/>
          <w:szCs w:val="24"/>
          <w:lang w:val="en-US"/>
        </w:rPr>
      </w:pPr>
      <w:r w:rsidRPr="00966F7E">
        <w:rPr>
          <w:sz w:val="24"/>
          <w:szCs w:val="24"/>
          <w:lang w:val="en-US"/>
        </w:rPr>
        <w:t>[1]</w:t>
      </w:r>
      <w:r w:rsidRPr="00966F7E">
        <w:rPr>
          <w:sz w:val="24"/>
          <w:szCs w:val="24"/>
          <w:lang w:val="en-US"/>
        </w:rPr>
        <w:tab/>
        <w:t xml:space="preserve">3GPP TR 38.811, “Study on New Radio (NR) to support non terrestrial networks (Release 15),” 3rd Generation Partnership Project; Technical Specification Group Radio Access Network, Version 15.1.0, June 2019. </w:t>
      </w:r>
    </w:p>
    <w:p w:rsidR="00966F7E" w:rsidRDefault="00966F7E" w:rsidP="00966F7E">
      <w:pPr>
        <w:rPr>
          <w:sz w:val="24"/>
          <w:szCs w:val="24"/>
          <w:lang w:val="en-US"/>
        </w:rPr>
      </w:pPr>
      <w:r w:rsidRPr="00966F7E">
        <w:rPr>
          <w:sz w:val="24"/>
          <w:szCs w:val="24"/>
          <w:lang w:val="en-US"/>
        </w:rPr>
        <w:t>[2]</w:t>
      </w:r>
      <w:r w:rsidRPr="00966F7E">
        <w:rPr>
          <w:sz w:val="24"/>
          <w:szCs w:val="24"/>
          <w:lang w:val="en-US"/>
        </w:rPr>
        <w:tab/>
        <w:t xml:space="preserve">3GPP TR 38.821 v16.0.0 (2019-12): 3rd Generation Partnership Project; Technical Specification Group Radio Access Network; Solutions for NR to support non-terrestrial networks (NTN) (Release 16) </w:t>
      </w:r>
    </w:p>
    <w:p w:rsidR="000C19B0" w:rsidRPr="00966F7E" w:rsidRDefault="000C19B0" w:rsidP="000C19B0">
      <w:pPr>
        <w:rPr>
          <w:sz w:val="24"/>
          <w:szCs w:val="24"/>
          <w:lang w:val="en-US"/>
        </w:rPr>
      </w:pPr>
      <w:r>
        <w:rPr>
          <w:sz w:val="24"/>
          <w:szCs w:val="24"/>
          <w:lang w:val="en-US"/>
        </w:rPr>
        <w:t>[3]</w:t>
      </w:r>
      <w:r>
        <w:rPr>
          <w:sz w:val="24"/>
          <w:szCs w:val="24"/>
          <w:lang w:val="en-US"/>
        </w:rPr>
        <w:tab/>
      </w:r>
      <w:r w:rsidRPr="00F52C7B">
        <w:rPr>
          <w:sz w:val="24"/>
          <w:szCs w:val="24"/>
          <w:lang w:val="en-US"/>
        </w:rPr>
        <w:t>R1-2106</w:t>
      </w:r>
      <w:r>
        <w:rPr>
          <w:sz w:val="24"/>
          <w:szCs w:val="24"/>
          <w:lang w:val="en-US"/>
        </w:rPr>
        <w:t>290, “</w:t>
      </w:r>
      <w:r>
        <w:rPr>
          <w:sz w:val="24"/>
          <w:szCs w:val="24"/>
        </w:rPr>
        <w:t>Feature lead summary</w:t>
      </w:r>
      <w:r w:rsidRPr="00E16D2E">
        <w:rPr>
          <w:sz w:val="24"/>
          <w:szCs w:val="24"/>
        </w:rPr>
        <w:t xml:space="preserve"> </w:t>
      </w:r>
      <w:r w:rsidRPr="000C19B0">
        <w:rPr>
          <w:sz w:val="24"/>
          <w:szCs w:val="24"/>
        </w:rPr>
        <w:t>enhancements on UL time and frequency synchronization for NR</w:t>
      </w:r>
      <w:r>
        <w:t>”</w:t>
      </w:r>
      <w:r>
        <w:rPr>
          <w:sz w:val="24"/>
          <w:szCs w:val="24"/>
          <w:lang w:val="en-US"/>
        </w:rPr>
        <w:t xml:space="preserve"> Thales</w:t>
      </w:r>
      <w:r w:rsidRPr="00966F7E">
        <w:rPr>
          <w:sz w:val="24"/>
          <w:szCs w:val="24"/>
          <w:lang w:val="en-US"/>
        </w:rPr>
        <w:t xml:space="preserve">, </w:t>
      </w:r>
      <w:r>
        <w:rPr>
          <w:sz w:val="24"/>
          <w:szCs w:val="24"/>
          <w:lang w:val="en-US"/>
        </w:rPr>
        <w:t>May</w:t>
      </w:r>
      <w:r w:rsidRPr="00966F7E">
        <w:rPr>
          <w:sz w:val="24"/>
          <w:szCs w:val="24"/>
          <w:lang w:val="en-US"/>
        </w:rPr>
        <w:t xml:space="preserve"> 2021.</w:t>
      </w:r>
      <w:r>
        <w:rPr>
          <w:sz w:val="24"/>
          <w:szCs w:val="24"/>
          <w:lang w:val="en-US"/>
        </w:rPr>
        <w:t xml:space="preserve"> </w:t>
      </w:r>
    </w:p>
    <w:p w:rsidR="00FD607D" w:rsidRDefault="00FD607D" w:rsidP="00FD607D">
      <w:pPr>
        <w:pStyle w:val="Heading1"/>
        <w:rPr>
          <w:lang w:val="en-US"/>
        </w:rPr>
      </w:pPr>
      <w:r>
        <w:rPr>
          <w:lang w:val="en-US"/>
        </w:rPr>
        <w:t xml:space="preserve">Appendix </w:t>
      </w:r>
    </w:p>
    <w:p w:rsidR="00FD607D" w:rsidRDefault="00B05F84" w:rsidP="00F65353">
      <w:pPr>
        <w:rPr>
          <w:lang w:val="en-US"/>
        </w:rPr>
      </w:pPr>
      <w:r>
        <w:rPr>
          <w:lang w:val="en-US"/>
        </w:rPr>
        <w:t>S</w:t>
      </w:r>
      <w:r w:rsidR="00F65353">
        <w:rPr>
          <w:lang w:val="en-US"/>
        </w:rPr>
        <w:t>ome of</w:t>
      </w:r>
      <w:r>
        <w:rPr>
          <w:lang w:val="en-US"/>
        </w:rPr>
        <w:t xml:space="preserve"> e</w:t>
      </w:r>
      <w:r w:rsidR="00FD607D">
        <w:rPr>
          <w:lang w:val="en-US"/>
        </w:rPr>
        <w:t xml:space="preserve">stimation error simulation results are provided below: </w:t>
      </w:r>
    </w:p>
    <w:p w:rsidR="0022531D" w:rsidRDefault="00244802" w:rsidP="0022531D">
      <w:pPr>
        <w:keepNext/>
      </w:pPr>
      <w:r>
        <w:rPr>
          <w:lang w:val="en-US"/>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pt;height:161.85pt">
            <v:imagedata r:id="rId6" o:title="LEO600_5S_0"/>
          </v:shape>
        </w:pict>
      </w:r>
      <w:r w:rsidR="0022531D">
        <w:rPr>
          <w:noProof/>
          <w:lang w:val="en-US" w:eastAsia="en-US"/>
        </w:rPr>
        <w:drawing>
          <wp:inline distT="0" distB="0" distL="0" distR="0" wp14:anchorId="0AD731BF" wp14:editId="7C9C1B23">
            <wp:extent cx="2747031" cy="2058764"/>
            <wp:effectExtent l="0" t="0" r="0" b="0"/>
            <wp:docPr id="5" name="Picture 5" descr="C:\Users\aha\AppData\Local\Microsoft\Windows\INetCache\Content.Word\LEO600_5S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ha\AppData\Local\Microsoft\Windows\INetCache\Content.Word\LEO600_5S_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50294" cy="2061209"/>
                    </a:xfrm>
                    <a:prstGeom prst="rect">
                      <a:avLst/>
                    </a:prstGeom>
                    <a:noFill/>
                    <a:ln>
                      <a:noFill/>
                    </a:ln>
                  </pic:spPr>
                </pic:pic>
              </a:graphicData>
            </a:graphic>
          </wp:inline>
        </w:drawing>
      </w:r>
    </w:p>
    <w:p w:rsidR="000C19B0" w:rsidRPr="000C19B0" w:rsidRDefault="0022531D" w:rsidP="000C19B0">
      <w:pPr>
        <w:pStyle w:val="Caption"/>
        <w:ind w:left="708" w:firstLine="708"/>
        <w:rPr>
          <w:lang w:val="en-US"/>
        </w:rPr>
      </w:pPr>
      <w:r w:rsidRPr="00A71D5E">
        <w:rPr>
          <w:lang w:val="en-US"/>
        </w:rPr>
        <w:t>Figure 1 - LEO600; SIB update rate 5 [s], (left) delay drift (right) 2nd order delay drift</w:t>
      </w:r>
      <w:r>
        <w:rPr>
          <w:lang w:val="en-US"/>
        </w:rPr>
        <w:t xml:space="preserve"> </w:t>
      </w:r>
    </w:p>
    <w:p w:rsidR="0022531D" w:rsidRDefault="00244802" w:rsidP="0022531D">
      <w:pPr>
        <w:keepNext/>
      </w:pPr>
      <w:r>
        <w:pict>
          <v:shape id="_x0000_i1026" type="#_x0000_t75" style="width:229.25pt;height:171.65pt">
            <v:imagedata r:id="rId8" o:title="LEO1200_5S_1"/>
          </v:shape>
        </w:pict>
      </w:r>
      <w:r>
        <w:pict>
          <v:shape id="_x0000_i1027" type="#_x0000_t75" style="width:224.05pt;height:167.6pt">
            <v:imagedata r:id="rId9" o:title="LEO1200_5S_2"/>
          </v:shape>
        </w:pict>
      </w:r>
    </w:p>
    <w:p w:rsidR="00B05F84" w:rsidRDefault="0022531D" w:rsidP="00B05F84">
      <w:pPr>
        <w:pStyle w:val="Caption"/>
        <w:keepNext/>
      </w:pPr>
      <w:r>
        <w:rPr>
          <w:lang w:val="en-US"/>
        </w:rPr>
        <w:t xml:space="preserve"> </w:t>
      </w:r>
      <w:r>
        <w:rPr>
          <w:lang w:val="en-US"/>
        </w:rPr>
        <w:tab/>
        <w:t>Figure 2 – LEO12</w:t>
      </w:r>
      <w:r w:rsidRPr="00DD4C14">
        <w:rPr>
          <w:lang w:val="en-US"/>
        </w:rPr>
        <w:t xml:space="preserve">00; SIB update rate 5 [s], (left) </w:t>
      </w:r>
      <w:r>
        <w:rPr>
          <w:lang w:val="en-US"/>
        </w:rPr>
        <w:t>2</w:t>
      </w:r>
      <w:r w:rsidRPr="0022531D">
        <w:rPr>
          <w:vertAlign w:val="superscript"/>
          <w:lang w:val="en-US"/>
        </w:rPr>
        <w:t>nd</w:t>
      </w:r>
      <w:r>
        <w:rPr>
          <w:lang w:val="en-US"/>
        </w:rPr>
        <w:t xml:space="preserve"> order delay drift (right) 3</w:t>
      </w:r>
      <w:r w:rsidRPr="0022531D">
        <w:rPr>
          <w:vertAlign w:val="superscript"/>
          <w:lang w:val="en-US"/>
        </w:rPr>
        <w:t>rd</w:t>
      </w:r>
      <w:r w:rsidRPr="00DD4C14">
        <w:rPr>
          <w:lang w:val="en-US"/>
        </w:rPr>
        <w:t xml:space="preserve"> order delay drift</w:t>
      </w:r>
      <w:r w:rsidR="00B05F84">
        <w:rPr>
          <w:lang w:val="en-US"/>
        </w:rPr>
        <w:t xml:space="preserve"> </w:t>
      </w:r>
      <w:r w:rsidR="00244802">
        <w:rPr>
          <w:lang w:val="en-US"/>
        </w:rPr>
        <w:pict>
          <v:shape id="_x0000_i1028" type="#_x0000_t75" style="width:223.5pt;height:167.6pt">
            <v:imagedata r:id="rId10" o:title="LEO600_28S_1"/>
          </v:shape>
        </w:pict>
      </w:r>
      <w:r w:rsidR="00244802">
        <w:rPr>
          <w:lang w:val="en-US"/>
        </w:rPr>
        <w:pict>
          <v:shape id="_x0000_i1029" type="#_x0000_t75" style="width:223.5pt;height:167.6pt">
            <v:imagedata r:id="rId11" o:title="LEO600_28S_2"/>
          </v:shape>
        </w:pict>
      </w:r>
    </w:p>
    <w:p w:rsidR="00B05F84" w:rsidRDefault="000C19B0" w:rsidP="000C19B0">
      <w:pPr>
        <w:pStyle w:val="Caption"/>
        <w:ind w:firstLine="708"/>
        <w:rPr>
          <w:lang w:val="en-US"/>
        </w:rPr>
      </w:pPr>
      <w:r>
        <w:rPr>
          <w:lang w:val="en-US"/>
        </w:rPr>
        <w:t>Figure 3</w:t>
      </w:r>
      <w:r w:rsidR="00B05F84" w:rsidRPr="00EA7074">
        <w:rPr>
          <w:lang w:val="en-US"/>
        </w:rPr>
        <w:t xml:space="preserve"> – LEO</w:t>
      </w:r>
      <w:r>
        <w:rPr>
          <w:lang w:val="en-US"/>
        </w:rPr>
        <w:t>6</w:t>
      </w:r>
      <w:r w:rsidR="00B05F84" w:rsidRPr="00EA7074">
        <w:rPr>
          <w:lang w:val="en-US"/>
        </w:rPr>
        <w:t xml:space="preserve">00; SIB update rate </w:t>
      </w:r>
      <w:r>
        <w:rPr>
          <w:lang w:val="en-US"/>
        </w:rPr>
        <w:t>28</w:t>
      </w:r>
      <w:r w:rsidR="00B05F84" w:rsidRPr="00EA7074">
        <w:rPr>
          <w:lang w:val="en-US"/>
        </w:rPr>
        <w:t xml:space="preserve"> [s], (left) 2nd order delay drift (right) 3rd order delay drift</w:t>
      </w:r>
    </w:p>
    <w:p w:rsidR="000C19B0" w:rsidRDefault="00244802" w:rsidP="000C19B0">
      <w:pPr>
        <w:keepNext/>
      </w:pPr>
      <w:r>
        <w:rPr>
          <w:lang w:val="en-US"/>
        </w:rPr>
        <w:lastRenderedPageBreak/>
        <w:pict>
          <v:shape id="_x0000_i1030" type="#_x0000_t75" style="width:221.2pt;height:165.9pt">
            <v:imagedata r:id="rId12" o:title="LEO1200_28S_0"/>
          </v:shape>
        </w:pict>
      </w:r>
      <w:r>
        <w:rPr>
          <w:lang w:val="en-US"/>
        </w:rPr>
        <w:pict>
          <v:shape id="_x0000_i1031" type="#_x0000_t75" style="width:221.2pt;height:165.9pt">
            <v:imagedata r:id="rId13" o:title="LEO1200_28S_1"/>
          </v:shape>
        </w:pict>
      </w:r>
    </w:p>
    <w:p w:rsidR="000C19B0" w:rsidRPr="000C19B0" w:rsidRDefault="000C19B0" w:rsidP="000C19B0">
      <w:pPr>
        <w:pStyle w:val="Caption"/>
        <w:ind w:firstLine="708"/>
        <w:rPr>
          <w:lang w:val="en-US"/>
        </w:rPr>
      </w:pPr>
      <w:r>
        <w:rPr>
          <w:lang w:val="en-US"/>
        </w:rPr>
        <w:t>Figure 4</w:t>
      </w:r>
      <w:r w:rsidRPr="00A50B49">
        <w:rPr>
          <w:lang w:val="en-US"/>
        </w:rPr>
        <w:t xml:space="preserve"> </w:t>
      </w:r>
      <w:r>
        <w:rPr>
          <w:lang w:val="en-US"/>
        </w:rPr>
        <w:t>–</w:t>
      </w:r>
      <w:r w:rsidRPr="00A50B49">
        <w:rPr>
          <w:lang w:val="en-US"/>
        </w:rPr>
        <w:t xml:space="preserve"> LEO</w:t>
      </w:r>
      <w:r>
        <w:rPr>
          <w:lang w:val="en-US"/>
        </w:rPr>
        <w:t>12</w:t>
      </w:r>
      <w:r w:rsidRPr="00A50B49">
        <w:rPr>
          <w:lang w:val="en-US"/>
        </w:rPr>
        <w:t xml:space="preserve">00; SIB update rate </w:t>
      </w:r>
      <w:r>
        <w:rPr>
          <w:lang w:val="en-US"/>
        </w:rPr>
        <w:t>28</w:t>
      </w:r>
      <w:r w:rsidRPr="00A50B49">
        <w:rPr>
          <w:lang w:val="en-US"/>
        </w:rPr>
        <w:t xml:space="preserve"> [s], (left) delay drift (right) 2nd order delay drift</w:t>
      </w:r>
    </w:p>
    <w:sectPr w:rsidR="000C19B0" w:rsidRPr="000C19B0">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F22A9B"/>
    <w:multiLevelType w:val="hybridMultilevel"/>
    <w:tmpl w:val="82EE746C"/>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05084"/>
    <w:multiLevelType w:val="hybridMultilevel"/>
    <w:tmpl w:val="30AA3D94"/>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443DE"/>
    <w:multiLevelType w:val="hybridMultilevel"/>
    <w:tmpl w:val="EF9C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51D97"/>
    <w:multiLevelType w:val="hybridMultilevel"/>
    <w:tmpl w:val="BDCE3866"/>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62F17"/>
    <w:multiLevelType w:val="hybridMultilevel"/>
    <w:tmpl w:val="7D7C6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D7ABB"/>
    <w:multiLevelType w:val="hybridMultilevel"/>
    <w:tmpl w:val="3B8273E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22571"/>
    <w:multiLevelType w:val="hybridMultilevel"/>
    <w:tmpl w:val="43F44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C0EB0"/>
    <w:multiLevelType w:val="hybridMultilevel"/>
    <w:tmpl w:val="4E3841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250CCB"/>
    <w:multiLevelType w:val="hybridMultilevel"/>
    <w:tmpl w:val="E5187378"/>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7E7E3A"/>
    <w:multiLevelType w:val="hybridMultilevel"/>
    <w:tmpl w:val="90A8055C"/>
    <w:lvl w:ilvl="0" w:tplc="FEA6DA00">
      <w:start w:val="23"/>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FE14CD"/>
    <w:multiLevelType w:val="hybridMultilevel"/>
    <w:tmpl w:val="E16C7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0FF6C13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54CAF"/>
    <w:multiLevelType w:val="hybridMultilevel"/>
    <w:tmpl w:val="45A2C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325DDF"/>
    <w:multiLevelType w:val="hybridMultilevel"/>
    <w:tmpl w:val="7DC8F324"/>
    <w:lvl w:ilvl="0" w:tplc="04090001">
      <w:start w:val="1"/>
      <w:numFmt w:val="bullet"/>
      <w:lvlText w:val=""/>
      <w:lvlJc w:val="left"/>
      <w:pPr>
        <w:ind w:left="1065" w:hanging="705"/>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DC608C"/>
    <w:multiLevelType w:val="hybridMultilevel"/>
    <w:tmpl w:val="4CDE4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0478A8"/>
    <w:multiLevelType w:val="hybridMultilevel"/>
    <w:tmpl w:val="D8D4F02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212B6A"/>
    <w:multiLevelType w:val="hybridMultilevel"/>
    <w:tmpl w:val="9F34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B773AD"/>
    <w:multiLevelType w:val="hybridMultilevel"/>
    <w:tmpl w:val="F4E22D20"/>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num w:numId="1">
    <w:abstractNumId w:val="13"/>
  </w:num>
  <w:num w:numId="2">
    <w:abstractNumId w:val="13"/>
  </w:num>
  <w:num w:numId="3">
    <w:abstractNumId w:val="19"/>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4"/>
  </w:num>
  <w:num w:numId="14">
    <w:abstractNumId w:val="15"/>
  </w:num>
  <w:num w:numId="15">
    <w:abstractNumId w:val="17"/>
  </w:num>
  <w:num w:numId="16">
    <w:abstractNumId w:val="20"/>
  </w:num>
  <w:num w:numId="17">
    <w:abstractNumId w:val="21"/>
  </w:num>
  <w:num w:numId="18">
    <w:abstractNumId w:val="6"/>
  </w:num>
  <w:num w:numId="19">
    <w:abstractNumId w:val="4"/>
  </w:num>
  <w:num w:numId="20">
    <w:abstractNumId w:val="1"/>
  </w:num>
  <w:num w:numId="21">
    <w:abstractNumId w:val="2"/>
  </w:num>
  <w:num w:numId="22">
    <w:abstractNumId w:val="9"/>
  </w:num>
  <w:num w:numId="23">
    <w:abstractNumId w:val="12"/>
  </w:num>
  <w:num w:numId="24">
    <w:abstractNumId w:val="18"/>
  </w:num>
  <w:num w:numId="25">
    <w:abstractNumId w:val="23"/>
  </w:num>
  <w:num w:numId="26">
    <w:abstractNumId w:val="7"/>
  </w:num>
  <w:num w:numId="27">
    <w:abstractNumId w:val="3"/>
  </w:num>
  <w:num w:numId="28">
    <w:abstractNumId w:val="5"/>
  </w:num>
  <w:num w:numId="29">
    <w:abstractNumId w:val="22"/>
  </w:num>
  <w:num w:numId="30">
    <w:abstractNumId w:val="8"/>
  </w:num>
  <w:num w:numId="31">
    <w:abstractNumId w:val="16"/>
  </w:num>
  <w:num w:numId="32">
    <w:abstractNumId w:val="1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B7F"/>
    <w:rsid w:val="00007EA4"/>
    <w:rsid w:val="00015597"/>
    <w:rsid w:val="000269B0"/>
    <w:rsid w:val="00040C02"/>
    <w:rsid w:val="0006053B"/>
    <w:rsid w:val="000725DB"/>
    <w:rsid w:val="00080C28"/>
    <w:rsid w:val="0008521D"/>
    <w:rsid w:val="000A2E8E"/>
    <w:rsid w:val="000B11B8"/>
    <w:rsid w:val="000B3D4D"/>
    <w:rsid w:val="000C19B0"/>
    <w:rsid w:val="000E0ACB"/>
    <w:rsid w:val="000E777A"/>
    <w:rsid w:val="000F0242"/>
    <w:rsid w:val="00107027"/>
    <w:rsid w:val="00113A2D"/>
    <w:rsid w:val="00113E17"/>
    <w:rsid w:val="00117A40"/>
    <w:rsid w:val="00123A9A"/>
    <w:rsid w:val="001304E1"/>
    <w:rsid w:val="001358D6"/>
    <w:rsid w:val="00151889"/>
    <w:rsid w:val="00161F99"/>
    <w:rsid w:val="0017328F"/>
    <w:rsid w:val="00181B85"/>
    <w:rsid w:val="00187238"/>
    <w:rsid w:val="0019007A"/>
    <w:rsid w:val="001A1153"/>
    <w:rsid w:val="001A7667"/>
    <w:rsid w:val="001B217A"/>
    <w:rsid w:val="001B70FB"/>
    <w:rsid w:val="001B7D2B"/>
    <w:rsid w:val="001D1F19"/>
    <w:rsid w:val="001E521A"/>
    <w:rsid w:val="001E5685"/>
    <w:rsid w:val="001F2D82"/>
    <w:rsid w:val="00201A76"/>
    <w:rsid w:val="00206F90"/>
    <w:rsid w:val="00212604"/>
    <w:rsid w:val="0022531D"/>
    <w:rsid w:val="00225F12"/>
    <w:rsid w:val="00244802"/>
    <w:rsid w:val="002461B3"/>
    <w:rsid w:val="00246959"/>
    <w:rsid w:val="00262497"/>
    <w:rsid w:val="002828D4"/>
    <w:rsid w:val="00295497"/>
    <w:rsid w:val="002A3C82"/>
    <w:rsid w:val="002B5C4B"/>
    <w:rsid w:val="002B610E"/>
    <w:rsid w:val="002C0BFF"/>
    <w:rsid w:val="002C18F8"/>
    <w:rsid w:val="002D7806"/>
    <w:rsid w:val="002E09DD"/>
    <w:rsid w:val="002E3783"/>
    <w:rsid w:val="002E58CC"/>
    <w:rsid w:val="002F06C6"/>
    <w:rsid w:val="00335AB4"/>
    <w:rsid w:val="00342601"/>
    <w:rsid w:val="00347F0F"/>
    <w:rsid w:val="00361B7F"/>
    <w:rsid w:val="00372EFB"/>
    <w:rsid w:val="0037465D"/>
    <w:rsid w:val="00392527"/>
    <w:rsid w:val="003A6A6A"/>
    <w:rsid w:val="003C6842"/>
    <w:rsid w:val="003F0798"/>
    <w:rsid w:val="003F4DA0"/>
    <w:rsid w:val="004104AD"/>
    <w:rsid w:val="004417B8"/>
    <w:rsid w:val="004B7723"/>
    <w:rsid w:val="004D4BD9"/>
    <w:rsid w:val="004D4E85"/>
    <w:rsid w:val="004F6505"/>
    <w:rsid w:val="005131B7"/>
    <w:rsid w:val="005152E2"/>
    <w:rsid w:val="00524997"/>
    <w:rsid w:val="005502F3"/>
    <w:rsid w:val="00550E62"/>
    <w:rsid w:val="00575F39"/>
    <w:rsid w:val="00576EBB"/>
    <w:rsid w:val="00580E2A"/>
    <w:rsid w:val="00591B4F"/>
    <w:rsid w:val="00594232"/>
    <w:rsid w:val="00596F5C"/>
    <w:rsid w:val="005A2CA9"/>
    <w:rsid w:val="005B1691"/>
    <w:rsid w:val="005B1D2D"/>
    <w:rsid w:val="005B2064"/>
    <w:rsid w:val="005F3B53"/>
    <w:rsid w:val="005F4C4B"/>
    <w:rsid w:val="00606967"/>
    <w:rsid w:val="006134F8"/>
    <w:rsid w:val="00615813"/>
    <w:rsid w:val="00616E76"/>
    <w:rsid w:val="00627ADD"/>
    <w:rsid w:val="006339D7"/>
    <w:rsid w:val="00637E58"/>
    <w:rsid w:val="00644394"/>
    <w:rsid w:val="006524C2"/>
    <w:rsid w:val="006543F1"/>
    <w:rsid w:val="00673C32"/>
    <w:rsid w:val="00680263"/>
    <w:rsid w:val="00681629"/>
    <w:rsid w:val="00686D8D"/>
    <w:rsid w:val="00696752"/>
    <w:rsid w:val="006B5C33"/>
    <w:rsid w:val="006C6A4C"/>
    <w:rsid w:val="006F08BF"/>
    <w:rsid w:val="00705018"/>
    <w:rsid w:val="00713526"/>
    <w:rsid w:val="0071550D"/>
    <w:rsid w:val="00723D3A"/>
    <w:rsid w:val="0073560B"/>
    <w:rsid w:val="00741CC2"/>
    <w:rsid w:val="00782424"/>
    <w:rsid w:val="00784001"/>
    <w:rsid w:val="0078553E"/>
    <w:rsid w:val="007920B2"/>
    <w:rsid w:val="007924AE"/>
    <w:rsid w:val="00795E1D"/>
    <w:rsid w:val="007A206F"/>
    <w:rsid w:val="007A5EDF"/>
    <w:rsid w:val="007A7641"/>
    <w:rsid w:val="007B14DF"/>
    <w:rsid w:val="007B5E02"/>
    <w:rsid w:val="007C6800"/>
    <w:rsid w:val="007D1B02"/>
    <w:rsid w:val="007E2FFB"/>
    <w:rsid w:val="007E3AE2"/>
    <w:rsid w:val="007F0C4F"/>
    <w:rsid w:val="00807EBC"/>
    <w:rsid w:val="00814B5E"/>
    <w:rsid w:val="00857D11"/>
    <w:rsid w:val="0086587C"/>
    <w:rsid w:val="00884493"/>
    <w:rsid w:val="00896FC6"/>
    <w:rsid w:val="008A17CD"/>
    <w:rsid w:val="008C5359"/>
    <w:rsid w:val="008D2A37"/>
    <w:rsid w:val="008D58EF"/>
    <w:rsid w:val="008D7CCA"/>
    <w:rsid w:val="008E04F3"/>
    <w:rsid w:val="008F11C4"/>
    <w:rsid w:val="008F5739"/>
    <w:rsid w:val="008F5C3A"/>
    <w:rsid w:val="00916657"/>
    <w:rsid w:val="00926678"/>
    <w:rsid w:val="00933D4C"/>
    <w:rsid w:val="00966F7E"/>
    <w:rsid w:val="00982B0D"/>
    <w:rsid w:val="00983C36"/>
    <w:rsid w:val="00984164"/>
    <w:rsid w:val="00995DF4"/>
    <w:rsid w:val="009B4438"/>
    <w:rsid w:val="009B4E40"/>
    <w:rsid w:val="009E5872"/>
    <w:rsid w:val="009E59C2"/>
    <w:rsid w:val="009E67D6"/>
    <w:rsid w:val="009E75DD"/>
    <w:rsid w:val="009E7CBD"/>
    <w:rsid w:val="009F6F64"/>
    <w:rsid w:val="00A02370"/>
    <w:rsid w:val="00A02643"/>
    <w:rsid w:val="00A20CC9"/>
    <w:rsid w:val="00A2214D"/>
    <w:rsid w:val="00A4218F"/>
    <w:rsid w:val="00A43DA0"/>
    <w:rsid w:val="00A4647E"/>
    <w:rsid w:val="00A743DC"/>
    <w:rsid w:val="00AA0BDD"/>
    <w:rsid w:val="00AB2633"/>
    <w:rsid w:val="00AC7860"/>
    <w:rsid w:val="00AE0523"/>
    <w:rsid w:val="00AE6739"/>
    <w:rsid w:val="00AF762E"/>
    <w:rsid w:val="00B00F63"/>
    <w:rsid w:val="00B034B9"/>
    <w:rsid w:val="00B05F84"/>
    <w:rsid w:val="00B11A63"/>
    <w:rsid w:val="00B14361"/>
    <w:rsid w:val="00B154AC"/>
    <w:rsid w:val="00B200D5"/>
    <w:rsid w:val="00B44EDE"/>
    <w:rsid w:val="00B611DE"/>
    <w:rsid w:val="00B710D2"/>
    <w:rsid w:val="00B8330A"/>
    <w:rsid w:val="00B85B18"/>
    <w:rsid w:val="00B879AB"/>
    <w:rsid w:val="00BA6B80"/>
    <w:rsid w:val="00BB3854"/>
    <w:rsid w:val="00BC0F02"/>
    <w:rsid w:val="00BC7FD6"/>
    <w:rsid w:val="00BD2D5E"/>
    <w:rsid w:val="00BE5F15"/>
    <w:rsid w:val="00C02724"/>
    <w:rsid w:val="00C263AB"/>
    <w:rsid w:val="00C30BA4"/>
    <w:rsid w:val="00C31A17"/>
    <w:rsid w:val="00C764C7"/>
    <w:rsid w:val="00C80C69"/>
    <w:rsid w:val="00CA1415"/>
    <w:rsid w:val="00CA5C1D"/>
    <w:rsid w:val="00CC4DC3"/>
    <w:rsid w:val="00CD32A1"/>
    <w:rsid w:val="00CE3EA1"/>
    <w:rsid w:val="00CE5B53"/>
    <w:rsid w:val="00CF6532"/>
    <w:rsid w:val="00D06F99"/>
    <w:rsid w:val="00D1146D"/>
    <w:rsid w:val="00D24D9B"/>
    <w:rsid w:val="00D423C3"/>
    <w:rsid w:val="00D42464"/>
    <w:rsid w:val="00D64D01"/>
    <w:rsid w:val="00D86582"/>
    <w:rsid w:val="00DB0B51"/>
    <w:rsid w:val="00DC3DAD"/>
    <w:rsid w:val="00DD5993"/>
    <w:rsid w:val="00DF0074"/>
    <w:rsid w:val="00E01919"/>
    <w:rsid w:val="00E0379E"/>
    <w:rsid w:val="00E104E2"/>
    <w:rsid w:val="00E14232"/>
    <w:rsid w:val="00E21881"/>
    <w:rsid w:val="00E21AEF"/>
    <w:rsid w:val="00E23ADB"/>
    <w:rsid w:val="00E3093E"/>
    <w:rsid w:val="00E37CA2"/>
    <w:rsid w:val="00E40570"/>
    <w:rsid w:val="00E42A06"/>
    <w:rsid w:val="00E4724F"/>
    <w:rsid w:val="00E557D7"/>
    <w:rsid w:val="00E563B0"/>
    <w:rsid w:val="00E57E1C"/>
    <w:rsid w:val="00E6555F"/>
    <w:rsid w:val="00E65E30"/>
    <w:rsid w:val="00E82DE7"/>
    <w:rsid w:val="00E8626A"/>
    <w:rsid w:val="00EB1A5F"/>
    <w:rsid w:val="00EE1C25"/>
    <w:rsid w:val="00EF42AD"/>
    <w:rsid w:val="00F05CAC"/>
    <w:rsid w:val="00F119B9"/>
    <w:rsid w:val="00F21C2D"/>
    <w:rsid w:val="00F22A1B"/>
    <w:rsid w:val="00F23A23"/>
    <w:rsid w:val="00F25792"/>
    <w:rsid w:val="00F34A1F"/>
    <w:rsid w:val="00F419FF"/>
    <w:rsid w:val="00F53CC3"/>
    <w:rsid w:val="00F65353"/>
    <w:rsid w:val="00F70490"/>
    <w:rsid w:val="00F815D3"/>
    <w:rsid w:val="00FA6333"/>
    <w:rsid w:val="00FA686E"/>
    <w:rsid w:val="00FA7172"/>
    <w:rsid w:val="00FB0FBE"/>
    <w:rsid w:val="00FB1A01"/>
    <w:rsid w:val="00FB1C72"/>
    <w:rsid w:val="00FC70AD"/>
    <w:rsid w:val="00FD607D"/>
    <w:rsid w:val="00FE0D7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chartTrackingRefBased/>
  <w15:docId w15:val="{477B48CD-5EAF-4C9C-9AFD-5F1B4BA4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F7E"/>
    <w:pPr>
      <w:overflowPunct w:val="0"/>
      <w:autoSpaceDE w:val="0"/>
      <w:autoSpaceDN w:val="0"/>
      <w:adjustRightInd w:val="0"/>
      <w:spacing w:after="120"/>
      <w:jc w:val="both"/>
      <w:textAlignment w:val="baseline"/>
    </w:pPr>
    <w:rPr>
      <w:rFonts w:ascii="Arial" w:hAnsi="Arial"/>
      <w:sz w:val="22"/>
      <w:lang w:val="en-GB" w:eastAsia="zh-CN"/>
    </w:rPr>
  </w:style>
  <w:style w:type="paragraph" w:styleId="Heading1">
    <w:name w:val="heading 1"/>
    <w:next w:val="Normal"/>
    <w:link w:val="Heading1Char"/>
    <w:qFormat/>
    <w:rsid w:val="00A743DC"/>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743D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743DC"/>
    <w:pPr>
      <w:numPr>
        <w:ilvl w:val="2"/>
      </w:numPr>
      <w:spacing w:before="120"/>
      <w:outlineLvl w:val="2"/>
    </w:pPr>
    <w:rPr>
      <w:sz w:val="28"/>
      <w:szCs w:val="28"/>
    </w:rPr>
  </w:style>
  <w:style w:type="paragraph" w:styleId="Heading4">
    <w:name w:val="heading 4"/>
    <w:basedOn w:val="Heading3"/>
    <w:next w:val="Normal"/>
    <w:link w:val="Heading4Char"/>
    <w:qFormat/>
    <w:rsid w:val="00A743DC"/>
    <w:pPr>
      <w:numPr>
        <w:ilvl w:val="3"/>
      </w:numPr>
      <w:outlineLvl w:val="3"/>
    </w:pPr>
    <w:rPr>
      <w:sz w:val="24"/>
      <w:szCs w:val="24"/>
    </w:rPr>
  </w:style>
  <w:style w:type="paragraph" w:styleId="Heading5">
    <w:name w:val="heading 5"/>
    <w:basedOn w:val="Heading4"/>
    <w:next w:val="Normal"/>
    <w:link w:val="Heading5Char"/>
    <w:qFormat/>
    <w:rsid w:val="00A743DC"/>
    <w:pPr>
      <w:numPr>
        <w:ilvl w:val="4"/>
      </w:numPr>
      <w:outlineLvl w:val="4"/>
    </w:pPr>
    <w:rPr>
      <w:sz w:val="22"/>
      <w:szCs w:val="22"/>
    </w:rPr>
  </w:style>
  <w:style w:type="paragraph" w:styleId="Heading6">
    <w:name w:val="heading 6"/>
    <w:basedOn w:val="Normal"/>
    <w:next w:val="Normal"/>
    <w:link w:val="Heading6Char"/>
    <w:qFormat/>
    <w:rsid w:val="00A743DC"/>
    <w:pPr>
      <w:keepNext/>
      <w:keepLines/>
      <w:numPr>
        <w:ilvl w:val="5"/>
        <w:numId w:val="12"/>
      </w:numPr>
      <w:tabs>
        <w:tab w:val="left" w:pos="432"/>
      </w:tabs>
      <w:spacing w:before="120"/>
      <w:outlineLvl w:val="5"/>
    </w:pPr>
    <w:rPr>
      <w:rFonts w:cs="Arial"/>
    </w:rPr>
  </w:style>
  <w:style w:type="paragraph" w:styleId="Heading7">
    <w:name w:val="heading 7"/>
    <w:basedOn w:val="Normal"/>
    <w:next w:val="Normal"/>
    <w:link w:val="Heading7Char"/>
    <w:qFormat/>
    <w:rsid w:val="00A743DC"/>
    <w:pPr>
      <w:keepNext/>
      <w:keepLines/>
      <w:numPr>
        <w:ilvl w:val="6"/>
        <w:numId w:val="12"/>
      </w:numPr>
      <w:tabs>
        <w:tab w:val="left" w:pos="432"/>
      </w:tabs>
      <w:spacing w:before="120"/>
      <w:outlineLvl w:val="6"/>
    </w:pPr>
    <w:rPr>
      <w:rFonts w:cs="Arial"/>
    </w:rPr>
  </w:style>
  <w:style w:type="paragraph" w:styleId="Heading8">
    <w:name w:val="heading 8"/>
    <w:basedOn w:val="Heading7"/>
    <w:next w:val="Normal"/>
    <w:link w:val="Heading8Char"/>
    <w:qFormat/>
    <w:rsid w:val="00A743DC"/>
    <w:pPr>
      <w:numPr>
        <w:ilvl w:val="7"/>
      </w:numPr>
      <w:outlineLvl w:val="7"/>
    </w:pPr>
  </w:style>
  <w:style w:type="paragraph" w:styleId="Heading9">
    <w:name w:val="heading 9"/>
    <w:basedOn w:val="Heading8"/>
    <w:next w:val="Normal"/>
    <w:link w:val="Heading9Char"/>
    <w:qFormat/>
    <w:rsid w:val="00A743DC"/>
    <w:pPr>
      <w:numPr>
        <w:ilvl w:val="8"/>
      </w:numPr>
      <w:tabs>
        <w:tab w:val="clear" w:pos="432"/>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3DC"/>
    <w:rPr>
      <w:rFonts w:ascii="Arial" w:eastAsia="Times New Roman" w:hAnsi="Arial" w:cs="Arial"/>
      <w:sz w:val="32"/>
      <w:szCs w:val="32"/>
      <w:lang w:val="en-GB" w:eastAsia="zh-CN"/>
    </w:rPr>
  </w:style>
  <w:style w:type="character" w:customStyle="1" w:styleId="Heading1Char">
    <w:name w:val="Heading 1 Char"/>
    <w:basedOn w:val="DefaultParagraphFont"/>
    <w:link w:val="Heading1"/>
    <w:rsid w:val="00A743DC"/>
    <w:rPr>
      <w:rFonts w:ascii="Arial" w:eastAsia="Times New Roman" w:hAnsi="Arial" w:cs="Arial"/>
      <w:sz w:val="36"/>
      <w:szCs w:val="36"/>
      <w:lang w:val="en-GB" w:eastAsia="zh-CN"/>
    </w:rPr>
  </w:style>
  <w:style w:type="paragraph" w:customStyle="1" w:styleId="3GPPHeader">
    <w:name w:val="3GPP_Header"/>
    <w:basedOn w:val="Normal"/>
    <w:rsid w:val="00A743DC"/>
    <w:pPr>
      <w:tabs>
        <w:tab w:val="left" w:pos="1701"/>
        <w:tab w:val="right" w:pos="9639"/>
      </w:tabs>
      <w:spacing w:after="240"/>
    </w:pPr>
    <w:rPr>
      <w:b/>
      <w:sz w:val="24"/>
    </w:rPr>
  </w:style>
  <w:style w:type="paragraph" w:styleId="List">
    <w:name w:val="List"/>
    <w:basedOn w:val="Normal"/>
    <w:uiPriority w:val="99"/>
    <w:semiHidden/>
    <w:unhideWhenUsed/>
    <w:rsid w:val="00A743DC"/>
    <w:pPr>
      <w:ind w:left="360" w:hanging="360"/>
      <w:contextualSpacing/>
    </w:pPr>
  </w:style>
  <w:style w:type="paragraph" w:customStyle="1" w:styleId="B1">
    <w:name w:val="B1"/>
    <w:basedOn w:val="List"/>
    <w:link w:val="B1Char"/>
    <w:qFormat/>
    <w:rsid w:val="00A743DC"/>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locked/>
    <w:rsid w:val="00A743DC"/>
    <w:rPr>
      <w:rFonts w:ascii="Times New Roman" w:eastAsia="Times New Roman" w:hAnsi="Times New Roman"/>
      <w:lang w:val="en-GB"/>
    </w:rPr>
  </w:style>
  <w:style w:type="paragraph" w:styleId="List2">
    <w:name w:val="List 2"/>
    <w:basedOn w:val="Normal"/>
    <w:uiPriority w:val="99"/>
    <w:semiHidden/>
    <w:unhideWhenUsed/>
    <w:rsid w:val="00A743DC"/>
    <w:pPr>
      <w:ind w:left="720" w:hanging="360"/>
      <w:contextualSpacing/>
    </w:pPr>
  </w:style>
  <w:style w:type="paragraph" w:customStyle="1" w:styleId="B2">
    <w:name w:val="B2"/>
    <w:basedOn w:val="List2"/>
    <w:link w:val="B2Char"/>
    <w:qFormat/>
    <w:rsid w:val="00A743DC"/>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sid w:val="00A743DC"/>
    <w:rPr>
      <w:rFonts w:ascii="Times New Roman" w:eastAsia="Times New Roman" w:hAnsi="Times New Roman"/>
      <w:lang w:val="en-GB"/>
    </w:rPr>
  </w:style>
  <w:style w:type="paragraph" w:styleId="BalloonText">
    <w:name w:val="Balloon Text"/>
    <w:basedOn w:val="Normal"/>
    <w:link w:val="BalloonTextChar"/>
    <w:uiPriority w:val="99"/>
    <w:semiHidden/>
    <w:unhideWhenUsed/>
    <w:rsid w:val="00A743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3DC"/>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A743DC"/>
    <w:rPr>
      <w:sz w:val="21"/>
      <w:szCs w:val="21"/>
    </w:rPr>
  </w:style>
  <w:style w:type="paragraph" w:styleId="CommentText">
    <w:name w:val="annotation text"/>
    <w:basedOn w:val="Normal"/>
    <w:link w:val="CommentTextChar"/>
    <w:uiPriority w:val="99"/>
    <w:semiHidden/>
    <w:unhideWhenUsed/>
    <w:rsid w:val="00A743DC"/>
    <w:pPr>
      <w:jc w:val="left"/>
    </w:pPr>
  </w:style>
  <w:style w:type="character" w:customStyle="1" w:styleId="CommentTextChar">
    <w:name w:val="Comment Text Char"/>
    <w:basedOn w:val="DefaultParagraphFont"/>
    <w:link w:val="CommentText"/>
    <w:uiPriority w:val="99"/>
    <w:semiHidden/>
    <w:rsid w:val="00A743DC"/>
    <w:rPr>
      <w:rFonts w:ascii="Arial" w:eastAsia="Times New Roman" w:hAnsi="Arial"/>
      <w:lang w:val="en-GB" w:eastAsia="zh-CN"/>
    </w:rPr>
  </w:style>
  <w:style w:type="paragraph" w:styleId="CommentSubject">
    <w:name w:val="annotation subject"/>
    <w:basedOn w:val="CommentText"/>
    <w:next w:val="CommentText"/>
    <w:link w:val="CommentSubjectChar"/>
    <w:uiPriority w:val="99"/>
    <w:semiHidden/>
    <w:unhideWhenUsed/>
    <w:rsid w:val="00A743DC"/>
    <w:rPr>
      <w:b/>
      <w:bCs/>
    </w:rPr>
  </w:style>
  <w:style w:type="character" w:customStyle="1" w:styleId="CommentSubjectChar">
    <w:name w:val="Comment Subject Char"/>
    <w:basedOn w:val="CommentTextChar"/>
    <w:link w:val="CommentSubject"/>
    <w:uiPriority w:val="99"/>
    <w:semiHidden/>
    <w:rsid w:val="00A743DC"/>
    <w:rPr>
      <w:rFonts w:ascii="Arial" w:eastAsia="Times New Roman" w:hAnsi="Arial"/>
      <w:b/>
      <w:bCs/>
      <w:lang w:val="en-GB" w:eastAsia="zh-CN"/>
    </w:rPr>
  </w:style>
  <w:style w:type="paragraph" w:customStyle="1" w:styleId="Doc-text2">
    <w:name w:val="Doc-text2"/>
    <w:basedOn w:val="Normal"/>
    <w:link w:val="Doc-text2Char"/>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743DC"/>
    <w:rPr>
      <w:rFonts w:ascii="Arial" w:eastAsia="MS Mincho" w:hAnsi="Arial"/>
      <w:szCs w:val="24"/>
      <w:lang w:val="en-GB" w:eastAsia="en-GB"/>
    </w:rPr>
  </w:style>
  <w:style w:type="paragraph" w:customStyle="1" w:styleId="EmailDiscussion">
    <w:name w:val="EmailDiscussion"/>
    <w:basedOn w:val="Normal"/>
    <w:next w:val="Normal"/>
    <w:link w:val="EmailDiscussionChar"/>
    <w:qFormat/>
    <w:rsid w:val="00A743DC"/>
    <w:pPr>
      <w:numPr>
        <w:numId w:val="3"/>
      </w:numPr>
      <w:overflowPunct/>
      <w:autoSpaceDE/>
      <w:autoSpaceDN/>
      <w:adjustRightInd/>
      <w:spacing w:before="40" w:after="0"/>
      <w:jc w:val="left"/>
      <w:textAlignment w:val="auto"/>
    </w:pPr>
    <w:rPr>
      <w:rFonts w:eastAsiaTheme="minorHAnsi" w:cs="Arial"/>
      <w:b/>
      <w:szCs w:val="24"/>
      <w:lang w:eastAsia="en-GB"/>
    </w:rPr>
  </w:style>
  <w:style w:type="character" w:customStyle="1" w:styleId="EmailDiscussionChar">
    <w:name w:val="EmailDiscussion Char"/>
    <w:link w:val="EmailDiscussion"/>
    <w:locked/>
    <w:rsid w:val="00A743DC"/>
    <w:rPr>
      <w:rFonts w:ascii="Arial" w:hAnsi="Arial" w:cs="Arial"/>
      <w:b/>
      <w:sz w:val="22"/>
      <w:szCs w:val="24"/>
      <w:lang w:val="en-GB" w:eastAsia="en-GB"/>
    </w:rPr>
  </w:style>
  <w:style w:type="paragraph" w:customStyle="1" w:styleId="EmailDiscussion2">
    <w:name w:val="EmailDiscussion2"/>
    <w:basedOn w:val="Normal"/>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Header">
    <w:name w:val="header"/>
    <w:basedOn w:val="Normal"/>
    <w:link w:val="HeaderChar"/>
    <w:uiPriority w:val="99"/>
    <w:unhideWhenUsed/>
    <w:rsid w:val="00A743DC"/>
    <w:pPr>
      <w:tabs>
        <w:tab w:val="center" w:pos="4680"/>
        <w:tab w:val="right" w:pos="9360"/>
      </w:tabs>
      <w:spacing w:after="0"/>
    </w:pPr>
  </w:style>
  <w:style w:type="character" w:customStyle="1" w:styleId="HeaderChar">
    <w:name w:val="Header Char"/>
    <w:basedOn w:val="DefaultParagraphFont"/>
    <w:link w:val="Header"/>
    <w:uiPriority w:val="99"/>
    <w:rsid w:val="00A743DC"/>
    <w:rPr>
      <w:rFonts w:ascii="Arial" w:eastAsia="Times New Roman" w:hAnsi="Arial"/>
      <w:lang w:val="en-GB" w:eastAsia="zh-CN"/>
    </w:rPr>
  </w:style>
  <w:style w:type="paragraph" w:styleId="Footer">
    <w:name w:val="footer"/>
    <w:basedOn w:val="Header"/>
    <w:link w:val="FooterChar"/>
    <w:semiHidden/>
    <w:rsid w:val="00A743DC"/>
    <w:pPr>
      <w:widowControl w:val="0"/>
      <w:jc w:val="center"/>
    </w:pPr>
    <w:rPr>
      <w:rFonts w:cs="Arial"/>
      <w:b/>
      <w:bCs/>
      <w:i/>
      <w:iCs/>
      <w:sz w:val="18"/>
      <w:szCs w:val="18"/>
      <w:lang w:val="en-US"/>
    </w:rPr>
  </w:style>
  <w:style w:type="character" w:customStyle="1" w:styleId="FooterChar">
    <w:name w:val="Footer Char"/>
    <w:basedOn w:val="DefaultParagraphFont"/>
    <w:link w:val="Footer"/>
    <w:semiHidden/>
    <w:rsid w:val="00A743DC"/>
    <w:rPr>
      <w:rFonts w:ascii="Arial" w:eastAsia="Times New Roman" w:hAnsi="Arial" w:cs="Arial"/>
      <w:b/>
      <w:bCs/>
      <w:i/>
      <w:iCs/>
      <w:sz w:val="18"/>
      <w:szCs w:val="18"/>
      <w:lang w:val="en-US" w:eastAsia="zh-CN"/>
    </w:rPr>
  </w:style>
  <w:style w:type="character" w:customStyle="1" w:styleId="Heading3Char">
    <w:name w:val="Heading 3 Char"/>
    <w:basedOn w:val="DefaultParagraphFont"/>
    <w:link w:val="Heading3"/>
    <w:rsid w:val="00A743D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743D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743DC"/>
    <w:rPr>
      <w:rFonts w:ascii="Arial" w:eastAsia="Times New Roman" w:hAnsi="Arial" w:cs="Arial"/>
      <w:sz w:val="22"/>
      <w:szCs w:val="22"/>
      <w:lang w:val="en-GB" w:eastAsia="zh-CN"/>
    </w:rPr>
  </w:style>
  <w:style w:type="character" w:customStyle="1" w:styleId="Heading6Char">
    <w:name w:val="Heading 6 Char"/>
    <w:basedOn w:val="DefaultParagraphFont"/>
    <w:link w:val="Heading6"/>
    <w:rsid w:val="00A743DC"/>
    <w:rPr>
      <w:rFonts w:ascii="Arial" w:eastAsia="Times New Roman" w:hAnsi="Arial" w:cs="Arial"/>
      <w:lang w:val="en-GB" w:eastAsia="zh-CN"/>
    </w:rPr>
  </w:style>
  <w:style w:type="character" w:customStyle="1" w:styleId="Heading7Char">
    <w:name w:val="Heading 7 Char"/>
    <w:basedOn w:val="DefaultParagraphFont"/>
    <w:link w:val="Heading7"/>
    <w:rsid w:val="00A743DC"/>
    <w:rPr>
      <w:rFonts w:ascii="Arial" w:eastAsia="Times New Roman" w:hAnsi="Arial" w:cs="Arial"/>
      <w:lang w:val="en-GB" w:eastAsia="zh-CN"/>
    </w:rPr>
  </w:style>
  <w:style w:type="character" w:customStyle="1" w:styleId="Heading8Char">
    <w:name w:val="Heading 8 Char"/>
    <w:basedOn w:val="DefaultParagraphFont"/>
    <w:link w:val="Heading8"/>
    <w:rsid w:val="00A743DC"/>
    <w:rPr>
      <w:rFonts w:ascii="Arial" w:eastAsia="Times New Roman" w:hAnsi="Arial" w:cs="Arial"/>
      <w:lang w:val="en-GB" w:eastAsia="zh-CN"/>
    </w:rPr>
  </w:style>
  <w:style w:type="character" w:customStyle="1" w:styleId="Heading9Char">
    <w:name w:val="Heading 9 Char"/>
    <w:basedOn w:val="DefaultParagraphFont"/>
    <w:link w:val="Heading9"/>
    <w:rsid w:val="00A743DC"/>
    <w:rPr>
      <w:rFonts w:ascii="Arial" w:eastAsia="Times New Roman" w:hAnsi="Arial" w:cs="Arial"/>
      <w:lang w:val="en-GB" w:eastAsia="zh-CN"/>
    </w:rPr>
  </w:style>
  <w:style w:type="character" w:styleId="Hyperlink">
    <w:name w:val="Hyperlink"/>
    <w:semiHidden/>
    <w:unhideWhenUsed/>
    <w:qFormat/>
    <w:rsid w:val="00A743DC"/>
    <w:rPr>
      <w:color w:val="0000FF"/>
      <w:u w:val="single"/>
    </w:rPr>
  </w:style>
  <w:style w:type="paragraph" w:styleId="ListParagraph">
    <w:name w:val="List Paragraph"/>
    <w:aliases w:val="Lista1,1st level - Bullet List Paragraph,List Paragraph1,Lettre d'introduction,Paragrafo elenco,Normal bullet 2,Bullet list,Numbered List,- Bullets,?? ??,?????,????,列出段落1,中等深浅网格 1 - 着色 21,Task Body,Viñetas (Inicio Parrafo),목록 단,목록 단락"/>
    <w:basedOn w:val="Normal"/>
    <w:link w:val="ListParagraphChar"/>
    <w:uiPriority w:val="34"/>
    <w:qFormat/>
    <w:rsid w:val="00A743DC"/>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 ?? Char,????? Char,???? Char"/>
    <w:link w:val="ListParagraph"/>
    <w:uiPriority w:val="34"/>
    <w:qFormat/>
    <w:locked/>
    <w:rsid w:val="00A743DC"/>
    <w:rPr>
      <w:rFonts w:asciiTheme="minorHAnsi" w:hAnsiTheme="minorHAnsi" w:cstheme="minorBidi"/>
      <w:sz w:val="22"/>
      <w:szCs w:val="22"/>
      <w:lang w:val="en-US"/>
    </w:rPr>
  </w:style>
  <w:style w:type="character" w:customStyle="1" w:styleId="ListParagraphChar1">
    <w:name w:val="List Paragraph Char1"/>
    <w:uiPriority w:val="34"/>
    <w:qFormat/>
    <w:locked/>
    <w:rsid w:val="00A743DC"/>
    <w:rPr>
      <w:rFonts w:ascii="Calibri" w:eastAsia="Calibri" w:hAnsi="Calibri"/>
      <w:sz w:val="22"/>
      <w:szCs w:val="22"/>
      <w:lang w:val="en-US" w:eastAsia="en-US"/>
    </w:rPr>
  </w:style>
  <w:style w:type="paragraph" w:styleId="NoSpacing">
    <w:name w:val="No Spacing"/>
    <w:uiPriority w:val="1"/>
    <w:qFormat/>
    <w:rsid w:val="00A743DC"/>
    <w:pPr>
      <w:overflowPunct w:val="0"/>
      <w:autoSpaceDE w:val="0"/>
      <w:autoSpaceDN w:val="0"/>
      <w:adjustRightInd w:val="0"/>
      <w:jc w:val="both"/>
      <w:textAlignment w:val="baseline"/>
    </w:pPr>
    <w:rPr>
      <w:rFonts w:ascii="Arial" w:hAnsi="Arial"/>
      <w:lang w:val="en-GB" w:eastAsia="zh-CN"/>
    </w:rPr>
  </w:style>
  <w:style w:type="paragraph" w:styleId="NormalWeb">
    <w:name w:val="Normal (Web)"/>
    <w:basedOn w:val="Normal"/>
    <w:uiPriority w:val="99"/>
    <w:semiHidden/>
    <w:unhideWhenUsed/>
    <w:rsid w:val="00A743DC"/>
    <w:pPr>
      <w:overflowPunct/>
      <w:autoSpaceDE/>
      <w:autoSpaceDN/>
      <w:adjustRightInd/>
      <w:spacing w:before="100" w:beforeAutospacing="1" w:after="100" w:afterAutospacing="1"/>
      <w:jc w:val="left"/>
      <w:textAlignment w:val="auto"/>
    </w:pPr>
    <w:rPr>
      <w:rFonts w:ascii="Calibri" w:eastAsiaTheme="minorHAnsi" w:hAnsi="Calibri" w:cs="Calibri"/>
      <w:szCs w:val="22"/>
      <w:lang w:val="en-US" w:eastAsia="en-US"/>
    </w:rPr>
  </w:style>
  <w:style w:type="character" w:styleId="PageNumber">
    <w:name w:val="page number"/>
    <w:semiHidden/>
    <w:rsid w:val="00A743DC"/>
  </w:style>
  <w:style w:type="paragraph" w:customStyle="1" w:styleId="Reference">
    <w:name w:val="Reference"/>
    <w:basedOn w:val="Normal"/>
    <w:rsid w:val="00A743DC"/>
    <w:pPr>
      <w:numPr>
        <w:numId w:val="13"/>
      </w:numPr>
    </w:pPr>
  </w:style>
  <w:style w:type="character" w:styleId="Strong">
    <w:name w:val="Strong"/>
    <w:basedOn w:val="DefaultParagraphFont"/>
    <w:uiPriority w:val="22"/>
    <w:qFormat/>
    <w:rsid w:val="00A743DC"/>
    <w:rPr>
      <w:b/>
      <w:bCs/>
    </w:rPr>
  </w:style>
  <w:style w:type="table" w:styleId="TableGrid">
    <w:name w:val="Table Grid"/>
    <w:basedOn w:val="TableNormal"/>
    <w:uiPriority w:val="39"/>
    <w:rsid w:val="00A743DC"/>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743DC"/>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A743DC"/>
    <w:rPr>
      <w:rFonts w:ascii="Arial" w:eastAsia="Times New Roman" w:hAnsi="Arial"/>
      <w:sz w:val="18"/>
      <w:lang w:val="en-GB"/>
    </w:rPr>
  </w:style>
  <w:style w:type="paragraph" w:customStyle="1" w:styleId="TH">
    <w:name w:val="TH"/>
    <w:basedOn w:val="Normal"/>
    <w:link w:val="THChar"/>
    <w:qFormat/>
    <w:rsid w:val="00A743DC"/>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sid w:val="00A743DC"/>
    <w:rPr>
      <w:rFonts w:ascii="Arial" w:eastAsia="Times New Roman" w:hAnsi="Arial"/>
      <w:b/>
      <w:lang w:val="en-GB"/>
    </w:rPr>
  </w:style>
  <w:style w:type="paragraph" w:customStyle="1" w:styleId="TdocHeader2">
    <w:name w:val="Tdoc_Header_2"/>
    <w:basedOn w:val="Normal"/>
    <w:rsid w:val="00361B7F"/>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RCoverPage">
    <w:name w:val="CR Cover Page"/>
    <w:rsid w:val="00361B7F"/>
    <w:pPr>
      <w:spacing w:after="120"/>
    </w:pPr>
    <w:rPr>
      <w:rFonts w:ascii="Arial" w:hAnsi="Arial"/>
      <w:lang w:val="en-GB"/>
    </w:rPr>
  </w:style>
  <w:style w:type="paragraph" w:styleId="Caption">
    <w:name w:val="caption"/>
    <w:basedOn w:val="Normal"/>
    <w:next w:val="Normal"/>
    <w:uiPriority w:val="35"/>
    <w:unhideWhenUsed/>
    <w:qFormat/>
    <w:rsid w:val="007E3AE2"/>
    <w:pPr>
      <w:spacing w:after="200"/>
    </w:pPr>
    <w:rPr>
      <w:i/>
      <w:iCs/>
      <w:color w:val="44546A" w:themeColor="text2"/>
      <w:sz w:val="18"/>
      <w:szCs w:val="18"/>
    </w:rPr>
  </w:style>
  <w:style w:type="character" w:styleId="PlaceholderText">
    <w:name w:val="Placeholder Text"/>
    <w:basedOn w:val="DefaultParagraphFont"/>
    <w:uiPriority w:val="99"/>
    <w:semiHidden/>
    <w:rsid w:val="00080C28"/>
    <w:rPr>
      <w:color w:val="808080"/>
    </w:rPr>
  </w:style>
  <w:style w:type="character" w:customStyle="1" w:styleId="apple-converted-space">
    <w:name w:val="apple-converted-space"/>
    <w:rsid w:val="00A43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850638">
      <w:bodyDiv w:val="1"/>
      <w:marLeft w:val="0"/>
      <w:marRight w:val="0"/>
      <w:marTop w:val="0"/>
      <w:marBottom w:val="0"/>
      <w:divBdr>
        <w:top w:val="none" w:sz="0" w:space="0" w:color="auto"/>
        <w:left w:val="none" w:sz="0" w:space="0" w:color="auto"/>
        <w:bottom w:val="none" w:sz="0" w:space="0" w:color="auto"/>
        <w:right w:val="none" w:sz="0" w:space="0" w:color="auto"/>
      </w:divBdr>
    </w:div>
    <w:div w:id="459306079">
      <w:bodyDiv w:val="1"/>
      <w:marLeft w:val="0"/>
      <w:marRight w:val="0"/>
      <w:marTop w:val="0"/>
      <w:marBottom w:val="0"/>
      <w:divBdr>
        <w:top w:val="none" w:sz="0" w:space="0" w:color="auto"/>
        <w:left w:val="none" w:sz="0" w:space="0" w:color="auto"/>
        <w:bottom w:val="none" w:sz="0" w:space="0" w:color="auto"/>
        <w:right w:val="none" w:sz="0" w:space="0" w:color="auto"/>
      </w:divBdr>
    </w:div>
    <w:div w:id="1162896165">
      <w:bodyDiv w:val="1"/>
      <w:marLeft w:val="0"/>
      <w:marRight w:val="0"/>
      <w:marTop w:val="0"/>
      <w:marBottom w:val="0"/>
      <w:divBdr>
        <w:top w:val="none" w:sz="0" w:space="0" w:color="auto"/>
        <w:left w:val="none" w:sz="0" w:space="0" w:color="auto"/>
        <w:bottom w:val="none" w:sz="0" w:space="0" w:color="auto"/>
        <w:right w:val="none" w:sz="0" w:space="0" w:color="auto"/>
      </w:divBdr>
    </w:div>
    <w:div w:id="1548685439">
      <w:bodyDiv w:val="1"/>
      <w:marLeft w:val="0"/>
      <w:marRight w:val="0"/>
      <w:marTop w:val="0"/>
      <w:marBottom w:val="0"/>
      <w:divBdr>
        <w:top w:val="none" w:sz="0" w:space="0" w:color="auto"/>
        <w:left w:val="none" w:sz="0" w:space="0" w:color="auto"/>
        <w:bottom w:val="none" w:sz="0" w:space="0" w:color="auto"/>
        <w:right w:val="none" w:sz="0" w:space="0" w:color="auto"/>
      </w:divBdr>
    </w:div>
    <w:div w:id="1866365720">
      <w:bodyDiv w:val="1"/>
      <w:marLeft w:val="0"/>
      <w:marRight w:val="0"/>
      <w:marTop w:val="0"/>
      <w:marBottom w:val="0"/>
      <w:divBdr>
        <w:top w:val="none" w:sz="0" w:space="0" w:color="auto"/>
        <w:left w:val="none" w:sz="0" w:space="0" w:color="auto"/>
        <w:bottom w:val="none" w:sz="0" w:space="0" w:color="auto"/>
        <w:right w:val="none" w:sz="0" w:space="0" w:color="auto"/>
      </w:divBdr>
    </w:div>
    <w:div w:id="20837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4D3-29CA-45B7-9BDA-93E33BB10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Ahmadzadeh, Arman</dc:creator>
  <cp:keywords/>
  <dc:description/>
  <cp:lastModifiedBy>Ahmadzadeh, Arman</cp:lastModifiedBy>
  <cp:revision>3</cp:revision>
  <dcterms:created xsi:type="dcterms:W3CDTF">2021-08-06T11:48:00Z</dcterms:created>
  <dcterms:modified xsi:type="dcterms:W3CDTF">2021-08-06T11:50:00Z</dcterms:modified>
</cp:coreProperties>
</file>